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9D55" w14:textId="77777777" w:rsidR="00460D56" w:rsidRPr="009952A2" w:rsidRDefault="00460D56" w:rsidP="00460D56">
      <w:pPr>
        <w:pStyle w:val="TITLEWeBER"/>
        <w:rPr>
          <w:rFonts w:ascii="Myriad Pro" w:hAnsi="Myriad Pro"/>
          <w:szCs w:val="20"/>
          <w:lang w:val="en-GB"/>
        </w:rPr>
      </w:pPr>
    </w:p>
    <w:tbl>
      <w:tblPr>
        <w:tblpPr w:leftFromText="180" w:rightFromText="180" w:vertAnchor="text" w:horzAnchor="margin" w:tblpY="2984"/>
        <w:tblW w:w="0" w:type="auto"/>
        <w:tblLook w:val="04A0" w:firstRow="1" w:lastRow="0" w:firstColumn="1" w:lastColumn="0" w:noHBand="0" w:noVBand="1"/>
      </w:tblPr>
      <w:tblGrid>
        <w:gridCol w:w="924"/>
        <w:gridCol w:w="8148"/>
      </w:tblGrid>
      <w:tr w:rsidR="00460D56" w:rsidRPr="009952A2" w14:paraId="7F1F6F00" w14:textId="77777777" w:rsidTr="00C30EB6">
        <w:trPr>
          <w:trHeight w:val="7943"/>
        </w:trPr>
        <w:tc>
          <w:tcPr>
            <w:tcW w:w="817" w:type="dxa"/>
            <w:shd w:val="clear" w:color="auto" w:fill="auto"/>
          </w:tcPr>
          <w:p w14:paraId="573C8498" w14:textId="73683C35" w:rsidR="00460D56" w:rsidRPr="009952A2" w:rsidRDefault="0001566F" w:rsidP="00C30EB6">
            <w:pPr>
              <w:pStyle w:val="TITLEWeBER"/>
              <w:ind w:firstLine="708"/>
              <w:rPr>
                <w:rFonts w:ascii="Myriad Pro" w:hAnsi="Myriad Pro"/>
                <w:lang w:val="en-GB"/>
              </w:rPr>
            </w:pPr>
            <w:r w:rsidRPr="009952A2">
              <w:rPr>
                <w:rFonts w:ascii="Myriad Pro" w:hAnsi="Myriad Pro"/>
                <w:noProof/>
                <w:lang w:val="en-US"/>
              </w:rPr>
              <mc:AlternateContent>
                <mc:Choice Requires="wps">
                  <w:drawing>
                    <wp:anchor distT="0" distB="0" distL="114300" distR="114300" simplePos="0" relativeHeight="251657728" behindDoc="0" locked="0" layoutInCell="1" allowOverlap="1" wp14:anchorId="1D662DA5" wp14:editId="0FE8DCB8">
                      <wp:simplePos x="0" y="0"/>
                      <wp:positionH relativeFrom="column">
                        <wp:posOffset>-14605</wp:posOffset>
                      </wp:positionH>
                      <wp:positionV relativeFrom="paragraph">
                        <wp:posOffset>204470</wp:posOffset>
                      </wp:positionV>
                      <wp:extent cx="342900" cy="342900"/>
                      <wp:effectExtent l="0" t="1270" r="1905" b="0"/>
                      <wp:wrapNone/>
                      <wp:docPr id="8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342900"/>
                              </a:xfrm>
                              <a:prstGeom prst="rect">
                                <a:avLst/>
                              </a:pr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982015" id="Rectangle 7" o:spid="_x0000_s1026" style="position:absolute;margin-left:-1.15pt;margin-top:16.1pt;width:27pt;height:2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" fillcolor="#2c3990" stroked="f"/>
                  </w:pict>
                </mc:Fallback>
              </mc:AlternateContent>
            </w:r>
          </w:p>
          <w:p w14:paraId="47B79655" w14:textId="77777777" w:rsidR="00460D56" w:rsidRPr="009952A2" w:rsidRDefault="00460D56" w:rsidP="00C30EB6">
            <w:pPr>
              <w:pStyle w:val="Bullet2WeBER"/>
              <w:numPr>
                <w:ilvl w:val="0"/>
                <w:numId w:val="0"/>
              </w:numPr>
              <w:rPr>
                <w:rFonts w:ascii="Myriad Pro" w:eastAsia="Myriad Pro Cond" w:hAnsi="Myriad Pro" w:cs="Times New Roman"/>
                <w:color w:val="2A388F"/>
                <w:sz w:val="72"/>
                <w:szCs w:val="20"/>
                <w:lang w:val="en-GB"/>
              </w:rPr>
            </w:pPr>
          </w:p>
          <w:p w14:paraId="690F0FEC" w14:textId="77777777" w:rsidR="00460D56" w:rsidRPr="009952A2" w:rsidRDefault="00460D56" w:rsidP="00C30EB6">
            <w:pPr>
              <w:pStyle w:val="Bullet2WeBER"/>
              <w:numPr>
                <w:ilvl w:val="0"/>
                <w:numId w:val="0"/>
              </w:numPr>
              <w:rPr>
                <w:rFonts w:ascii="Myriad Pro" w:eastAsia="Myriad Pro Cond" w:hAnsi="Myriad Pro" w:cs="Times New Roman"/>
                <w:color w:val="2A388F"/>
                <w:sz w:val="72"/>
                <w:szCs w:val="20"/>
                <w:lang w:val="en-GB"/>
              </w:rPr>
            </w:pPr>
          </w:p>
          <w:p w14:paraId="01E2B0CC" w14:textId="77777777" w:rsidR="00460D56" w:rsidRPr="009952A2" w:rsidRDefault="00460D56" w:rsidP="00C30EB6">
            <w:pPr>
              <w:pStyle w:val="Bullet2WeBER"/>
              <w:numPr>
                <w:ilvl w:val="0"/>
                <w:numId w:val="0"/>
              </w:numPr>
              <w:rPr>
                <w:rFonts w:ascii="Myriad Pro" w:eastAsia="Myriad Pro Cond" w:hAnsi="Myriad Pro" w:cs="Times New Roman"/>
                <w:color w:val="2A388F"/>
                <w:sz w:val="72"/>
                <w:szCs w:val="20"/>
                <w:lang w:val="en-GB"/>
              </w:rPr>
            </w:pPr>
          </w:p>
          <w:p w14:paraId="70A53056" w14:textId="77777777" w:rsidR="00460D56" w:rsidRPr="009952A2" w:rsidRDefault="00460D56" w:rsidP="00C30EB6">
            <w:pPr>
              <w:pStyle w:val="Bullet2WeBER"/>
              <w:numPr>
                <w:ilvl w:val="0"/>
                <w:numId w:val="0"/>
              </w:numPr>
              <w:rPr>
                <w:rFonts w:ascii="Myriad Pro" w:eastAsia="Myriad Pro Cond" w:hAnsi="Myriad Pro" w:cs="Times New Roman"/>
                <w:color w:val="2A388F"/>
                <w:sz w:val="72"/>
                <w:szCs w:val="20"/>
                <w:lang w:val="en-GB"/>
              </w:rPr>
            </w:pPr>
          </w:p>
          <w:p w14:paraId="0C3C5639" w14:textId="77777777" w:rsidR="00460D56" w:rsidRPr="009952A2" w:rsidRDefault="00460D56" w:rsidP="00C30EB6">
            <w:pPr>
              <w:pStyle w:val="Bullet2WeBER"/>
              <w:numPr>
                <w:ilvl w:val="0"/>
                <w:numId w:val="0"/>
              </w:numPr>
              <w:rPr>
                <w:rFonts w:ascii="Myriad Pro" w:eastAsia="Myriad Pro Cond" w:hAnsi="Myriad Pro" w:cs="Times New Roman"/>
                <w:color w:val="2A388F"/>
                <w:sz w:val="72"/>
                <w:szCs w:val="20"/>
                <w:lang w:val="en-GB"/>
              </w:rPr>
            </w:pPr>
          </w:p>
          <w:p w14:paraId="01C48062" w14:textId="77777777" w:rsidR="00460D56" w:rsidRPr="009952A2" w:rsidRDefault="00460D56" w:rsidP="00C30EB6">
            <w:pPr>
              <w:pStyle w:val="Bullet2WeBER"/>
              <w:numPr>
                <w:ilvl w:val="0"/>
                <w:numId w:val="0"/>
              </w:numPr>
              <w:rPr>
                <w:rFonts w:ascii="Myriad Pro" w:eastAsia="Myriad Pro Cond" w:hAnsi="Myriad Pro" w:cs="Times New Roman"/>
                <w:color w:val="2A388F"/>
                <w:sz w:val="72"/>
                <w:szCs w:val="20"/>
                <w:lang w:val="en-GB"/>
              </w:rPr>
            </w:pPr>
          </w:p>
          <w:p w14:paraId="6A7DE180" w14:textId="77777777" w:rsidR="00460D56" w:rsidRPr="009952A2" w:rsidRDefault="00460D56" w:rsidP="00C30EB6">
            <w:pPr>
              <w:pStyle w:val="Bullet2WeBER"/>
              <w:numPr>
                <w:ilvl w:val="0"/>
                <w:numId w:val="0"/>
              </w:numPr>
              <w:rPr>
                <w:rFonts w:ascii="Myriad Pro" w:eastAsia="Myriad Pro Cond" w:hAnsi="Myriad Pro" w:cs="Times New Roman"/>
                <w:color w:val="2A388F"/>
                <w:sz w:val="72"/>
                <w:szCs w:val="20"/>
                <w:lang w:val="en-GB"/>
              </w:rPr>
            </w:pPr>
          </w:p>
          <w:p w14:paraId="7A40EAA7" w14:textId="77777777" w:rsidR="00460D56" w:rsidRPr="009952A2" w:rsidRDefault="00460D56" w:rsidP="00C30EB6">
            <w:pPr>
              <w:pStyle w:val="Bullet2WeBER"/>
              <w:numPr>
                <w:ilvl w:val="0"/>
                <w:numId w:val="0"/>
              </w:numPr>
              <w:rPr>
                <w:rFonts w:ascii="Myriad Pro" w:eastAsia="Myriad Pro Cond" w:hAnsi="Myriad Pro" w:cs="Times New Roman"/>
                <w:color w:val="2A388F"/>
                <w:sz w:val="72"/>
                <w:szCs w:val="20"/>
                <w:lang w:val="en-GB"/>
              </w:rPr>
            </w:pPr>
          </w:p>
          <w:p w14:paraId="277702E1" w14:textId="77777777" w:rsidR="00460D56" w:rsidRPr="009952A2" w:rsidRDefault="00460D56" w:rsidP="00C30EB6">
            <w:pPr>
              <w:pStyle w:val="Bullet2WeBER"/>
              <w:numPr>
                <w:ilvl w:val="0"/>
                <w:numId w:val="0"/>
              </w:numPr>
              <w:rPr>
                <w:rFonts w:ascii="Myriad Pro" w:eastAsia="Myriad Pro Cond" w:hAnsi="Myriad Pro" w:cs="Times New Roman"/>
                <w:color w:val="2A388F"/>
                <w:sz w:val="72"/>
                <w:szCs w:val="20"/>
                <w:lang w:val="en-GB"/>
              </w:rPr>
            </w:pPr>
          </w:p>
          <w:p w14:paraId="1BB62F1B" w14:textId="77777777" w:rsidR="00460D56" w:rsidRPr="009952A2" w:rsidRDefault="00460D56" w:rsidP="00C30EB6">
            <w:pPr>
              <w:pStyle w:val="Bullet2WeBER"/>
              <w:numPr>
                <w:ilvl w:val="0"/>
                <w:numId w:val="0"/>
              </w:numPr>
              <w:rPr>
                <w:rFonts w:ascii="Myriad Pro" w:hAnsi="Myriad Pro"/>
                <w:szCs w:val="20"/>
                <w:lang w:val="en-GB"/>
              </w:rPr>
            </w:pPr>
          </w:p>
        </w:tc>
        <w:tc>
          <w:tcPr>
            <w:tcW w:w="8471" w:type="dxa"/>
            <w:shd w:val="clear" w:color="auto" w:fill="auto"/>
          </w:tcPr>
          <w:p w14:paraId="3739EF95" w14:textId="77777777" w:rsidR="00460D56" w:rsidRPr="009952A2" w:rsidRDefault="005748EC" w:rsidP="00BA746A">
            <w:pPr>
              <w:pStyle w:val="TITLEWeBER"/>
              <w:spacing w:line="240" w:lineRule="auto"/>
              <w:rPr>
                <w:rFonts w:ascii="Myriad Pro" w:hAnsi="Myriad Pro"/>
                <w:lang w:val="en-GB"/>
              </w:rPr>
            </w:pPr>
            <w:r w:rsidRPr="009952A2">
              <w:rPr>
                <w:rFonts w:ascii="Myriad Pro" w:hAnsi="Myriad Pro"/>
                <w:lang w:val="en-GB"/>
              </w:rPr>
              <w:t xml:space="preserve">WeBER </w:t>
            </w:r>
            <w:r w:rsidR="00BA746A" w:rsidRPr="009952A2">
              <w:rPr>
                <w:rFonts w:ascii="Myriad Pro" w:hAnsi="Myriad Pro"/>
                <w:lang w:val="en-GB"/>
              </w:rPr>
              <w:t>Indicator Summary</w:t>
            </w:r>
          </w:p>
          <w:p w14:paraId="44A8F9A0" w14:textId="77777777" w:rsidR="00460D56" w:rsidRPr="009952A2" w:rsidRDefault="00BA746A" w:rsidP="00BA746A">
            <w:pPr>
              <w:pStyle w:val="SubtitleWeBER"/>
              <w:spacing w:line="240" w:lineRule="auto"/>
              <w:rPr>
                <w:rFonts w:ascii="Myriad Pro" w:hAnsi="Myriad Pro"/>
                <w:lang w:val="en-GB"/>
              </w:rPr>
            </w:pPr>
            <w:r w:rsidRPr="009952A2">
              <w:rPr>
                <w:rFonts w:ascii="Myriad Pro" w:hAnsi="Myriad Pro"/>
                <w:lang w:val="en-GB"/>
              </w:rPr>
              <w:t>A</w:t>
            </w:r>
            <w:r w:rsidR="004F3D7E" w:rsidRPr="009952A2">
              <w:rPr>
                <w:rFonts w:ascii="Myriad Pro" w:hAnsi="Myriad Pro"/>
                <w:lang w:val="en-GB"/>
              </w:rPr>
              <w:t>REA</w:t>
            </w:r>
            <w:r w:rsidRPr="009952A2">
              <w:rPr>
                <w:rFonts w:ascii="Myriad Pro" w:hAnsi="Myriad Pro"/>
                <w:lang w:val="en-GB"/>
              </w:rPr>
              <w:t xml:space="preserve">: </w:t>
            </w:r>
            <w:r w:rsidR="005748EC" w:rsidRPr="009952A2">
              <w:rPr>
                <w:rFonts w:ascii="Myriad Pro" w:hAnsi="Myriad Pro"/>
                <w:lang w:val="en-GB"/>
              </w:rPr>
              <w:t>ACCOUNTABILITY</w:t>
            </w:r>
          </w:p>
          <w:p w14:paraId="217D4871" w14:textId="77777777" w:rsidR="006C6208" w:rsidRPr="009952A2" w:rsidRDefault="006C6208" w:rsidP="00BA746A">
            <w:pPr>
              <w:pStyle w:val="SubtitleWeBER"/>
              <w:spacing w:line="240" w:lineRule="auto"/>
              <w:rPr>
                <w:rFonts w:ascii="Myriad Pro" w:eastAsia="Myriad Pro Cond" w:hAnsi="Myriad Pro" w:cs="Times New Roman"/>
                <w:color w:val="2A388F"/>
                <w:sz w:val="72"/>
                <w:szCs w:val="22"/>
                <w:lang w:val="en-GB"/>
              </w:rPr>
            </w:pPr>
          </w:p>
          <w:p w14:paraId="5E50DE4E" w14:textId="77777777" w:rsidR="006C6208" w:rsidRPr="009952A2" w:rsidRDefault="006C6208" w:rsidP="00BA746A">
            <w:pPr>
              <w:pStyle w:val="SubtitleWeBER"/>
              <w:spacing w:line="240" w:lineRule="auto"/>
              <w:rPr>
                <w:rFonts w:ascii="Myriad Pro" w:eastAsia="Myriad Pro Cond" w:hAnsi="Myriad Pro" w:cs="Times New Roman"/>
                <w:color w:val="2A388F"/>
                <w:sz w:val="72"/>
                <w:szCs w:val="22"/>
                <w:lang w:val="en-GB"/>
              </w:rPr>
            </w:pPr>
          </w:p>
          <w:p w14:paraId="5F6D4C92" w14:textId="68928846" w:rsidR="00A23B4B" w:rsidRPr="009952A2" w:rsidRDefault="00581D84" w:rsidP="00581D84">
            <w:pPr>
              <w:pStyle w:val="SubtitleWeBER"/>
              <w:spacing w:line="240" w:lineRule="auto"/>
              <w:jc w:val="left"/>
              <w:rPr>
                <w:rFonts w:ascii="Myriad Pro" w:hAnsi="Myriad Pro"/>
                <w:lang w:val="en-GB"/>
              </w:rPr>
            </w:pPr>
            <w:r w:rsidRPr="009952A2">
              <w:rPr>
                <w:rFonts w:ascii="Myriad Pro" w:eastAsia="Myriad Pro Cond" w:hAnsi="Myriad Pro" w:cs="Times New Roman"/>
                <w:color w:val="2A388F"/>
                <w:sz w:val="72"/>
                <w:szCs w:val="22"/>
                <w:lang w:val="en-GB"/>
              </w:rPr>
              <w:t>B</w:t>
            </w:r>
            <w:r w:rsidR="0047382A" w:rsidRPr="009952A2">
              <w:rPr>
                <w:rFonts w:ascii="Myriad Pro" w:eastAsia="Myriad Pro Cond" w:hAnsi="Myriad Pro" w:cs="Times New Roman"/>
                <w:color w:val="2A388F"/>
                <w:sz w:val="72"/>
                <w:szCs w:val="22"/>
                <w:lang w:val="en-GB"/>
              </w:rPr>
              <w:t>O</w:t>
            </w:r>
            <w:r w:rsidRPr="009952A2">
              <w:rPr>
                <w:rFonts w:ascii="Myriad Pro" w:eastAsia="Myriad Pro Cond" w:hAnsi="Myriad Pro" w:cs="Times New Roman"/>
                <w:color w:val="2A388F"/>
                <w:sz w:val="72"/>
                <w:szCs w:val="22"/>
                <w:lang w:val="en-GB"/>
              </w:rPr>
              <w:t>SNIA AND HERZEGOVINA</w:t>
            </w:r>
          </w:p>
        </w:tc>
      </w:tr>
      <w:tr w:rsidR="00460D56" w:rsidRPr="009952A2" w14:paraId="1B19975D" w14:textId="77777777" w:rsidTr="00C30EB6">
        <w:trPr>
          <w:trHeight w:val="857"/>
        </w:trPr>
        <w:tc>
          <w:tcPr>
            <w:tcW w:w="9288" w:type="dxa"/>
            <w:gridSpan w:val="2"/>
            <w:shd w:val="clear" w:color="auto" w:fill="auto"/>
          </w:tcPr>
          <w:p w14:paraId="17C91774" w14:textId="351D4860" w:rsidR="009D7B61" w:rsidRPr="009952A2" w:rsidRDefault="00460D56" w:rsidP="00C30EB6">
            <w:pPr>
              <w:pStyle w:val="Bullet2WeBER"/>
              <w:rPr>
                <w:rFonts w:ascii="Myriad Pro" w:hAnsi="Myriad Pro"/>
                <w:szCs w:val="20"/>
                <w:lang w:val="en-GB"/>
              </w:rPr>
            </w:pPr>
            <w:r w:rsidRPr="009952A2">
              <w:rPr>
                <w:rFonts w:ascii="Myriad Pro" w:hAnsi="Myriad Pro"/>
                <w:lang w:val="en-GB"/>
              </w:rPr>
              <w:tab/>
            </w:r>
            <w:r w:rsidR="00EB525D" w:rsidRPr="009952A2">
              <w:rPr>
                <w:rFonts w:ascii="Myriad Pro" w:hAnsi="Myriad Pro"/>
                <w:b/>
                <w:lang w:val="en-GB"/>
              </w:rPr>
              <w:t>Author</w:t>
            </w:r>
            <w:r w:rsidRPr="009952A2">
              <w:rPr>
                <w:rFonts w:ascii="Myriad Pro" w:hAnsi="Myriad Pro"/>
                <w:b/>
                <w:lang w:val="en-GB"/>
              </w:rPr>
              <w:t xml:space="preserve">: </w:t>
            </w:r>
            <w:r w:rsidR="009D7B61" w:rsidRPr="009952A2">
              <w:rPr>
                <w:rFonts w:ascii="Myriad Pro" w:hAnsi="Myriad Pro"/>
                <w:lang w:val="en-GB"/>
              </w:rPr>
              <w:t xml:space="preserve"> </w:t>
            </w:r>
            <w:r w:rsidR="00581D84" w:rsidRPr="009952A2">
              <w:rPr>
                <w:rFonts w:ascii="Myriad Pro" w:hAnsi="Myriad Pro"/>
                <w:lang w:val="en-GB"/>
              </w:rPr>
              <w:t xml:space="preserve">Foreign Policy Initiative BH </w:t>
            </w:r>
            <w:r w:rsidR="004D5B00" w:rsidRPr="009952A2">
              <w:rPr>
                <w:rFonts w:ascii="Myriad Pro" w:hAnsi="Myriad Pro"/>
                <w:lang w:val="en-GB"/>
              </w:rPr>
              <w:t>(</w:t>
            </w:r>
            <w:r w:rsidR="00581D84" w:rsidRPr="009952A2">
              <w:rPr>
                <w:rFonts w:ascii="Myriad Pro" w:hAnsi="Myriad Pro"/>
                <w:lang w:val="en-GB"/>
              </w:rPr>
              <w:t>FPI</w:t>
            </w:r>
            <w:r w:rsidR="004D5B00" w:rsidRPr="009952A2">
              <w:rPr>
                <w:rFonts w:ascii="Myriad Pro" w:hAnsi="Myriad Pro"/>
                <w:lang w:val="en-GB"/>
              </w:rPr>
              <w:t>)</w:t>
            </w:r>
            <w:r w:rsidR="009D7B61" w:rsidRPr="009952A2">
              <w:rPr>
                <w:rFonts w:ascii="Myriad Pro" w:hAnsi="Myriad Pro"/>
                <w:lang w:val="en-GB"/>
              </w:rPr>
              <w:t xml:space="preserve"> </w:t>
            </w:r>
          </w:p>
          <w:p w14:paraId="34041154" w14:textId="57409CFD" w:rsidR="00460D56" w:rsidRPr="009952A2" w:rsidRDefault="00460D56" w:rsidP="007E3A38">
            <w:pPr>
              <w:pStyle w:val="Bullet2WeBER"/>
              <w:rPr>
                <w:rFonts w:ascii="Myriad Pro" w:hAnsi="Myriad Pro"/>
                <w:szCs w:val="20"/>
                <w:lang w:val="en-GB"/>
              </w:rPr>
            </w:pPr>
            <w:r w:rsidRPr="009952A2">
              <w:rPr>
                <w:rFonts w:ascii="Myriad Pro" w:hAnsi="Myriad Pro"/>
                <w:lang w:val="en-GB"/>
              </w:rPr>
              <w:tab/>
            </w:r>
            <w:r w:rsidRPr="009952A2">
              <w:rPr>
                <w:rFonts w:ascii="Myriad Pro" w:hAnsi="Myriad Pro"/>
                <w:b/>
                <w:lang w:val="en-GB"/>
              </w:rPr>
              <w:t>Date:</w:t>
            </w:r>
            <w:r w:rsidRPr="009952A2">
              <w:rPr>
                <w:rFonts w:ascii="Myriad Pro" w:hAnsi="Myriad Pro"/>
                <w:lang w:val="en-GB"/>
              </w:rPr>
              <w:t xml:space="preserve"> </w:t>
            </w:r>
            <w:r w:rsidR="007E3A38" w:rsidRPr="009952A2">
              <w:rPr>
                <w:rFonts w:ascii="Myriad Pro" w:hAnsi="Myriad Pro"/>
                <w:lang w:val="en-GB"/>
              </w:rPr>
              <w:t>18.03.2020.</w:t>
            </w:r>
          </w:p>
        </w:tc>
      </w:tr>
    </w:tbl>
    <w:p w14:paraId="3FD08814" w14:textId="77777777" w:rsidR="00D1063F" w:rsidRPr="009952A2" w:rsidRDefault="00460D56" w:rsidP="00A34D33">
      <w:pPr>
        <w:pStyle w:val="H1WeBER"/>
        <w:spacing w:before="0" w:after="120"/>
        <w:rPr>
          <w:rFonts w:ascii="Myriad Pro" w:hAnsi="Myriad Pro"/>
          <w:sz w:val="2"/>
          <w:szCs w:val="2"/>
          <w:lang w:val="en-GB"/>
        </w:rPr>
      </w:pPr>
      <w:r w:rsidRPr="009952A2">
        <w:rPr>
          <w:rFonts w:ascii="Myriad Pro" w:hAnsi="Myriad Pro"/>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362"/>
        <w:gridCol w:w="2321"/>
        <w:gridCol w:w="2350"/>
      </w:tblGrid>
      <w:tr w:rsidR="008E1940" w:rsidRPr="009952A2" w14:paraId="6EF849C6" w14:textId="77777777" w:rsidTr="009D7B61">
        <w:trPr>
          <w:trHeight w:val="382"/>
        </w:trPr>
        <w:tc>
          <w:tcPr>
            <w:tcW w:w="2088" w:type="dxa"/>
            <w:tcBorders>
              <w:bottom w:val="single" w:sz="4" w:space="0" w:color="000000"/>
            </w:tcBorders>
            <w:shd w:val="clear" w:color="auto" w:fill="2A388F"/>
            <w:vAlign w:val="center"/>
          </w:tcPr>
          <w:p w14:paraId="3E013112" w14:textId="77777777" w:rsidR="008E1940" w:rsidRPr="009952A2" w:rsidRDefault="008E1940" w:rsidP="00A34D33">
            <w:pPr>
              <w:spacing w:after="60"/>
              <w:rPr>
                <w:rFonts w:ascii="Myriad Pro" w:hAnsi="Myriad Pro"/>
                <w:b/>
                <w:color w:val="FFFFFF"/>
                <w:sz w:val="20"/>
                <w:szCs w:val="20"/>
                <w:lang w:val="en-GB"/>
              </w:rPr>
            </w:pPr>
            <w:r w:rsidRPr="009952A2">
              <w:rPr>
                <w:rFonts w:ascii="Myriad Pro" w:hAnsi="Myriad Pro"/>
                <w:b/>
                <w:color w:val="FFFFFF"/>
                <w:sz w:val="20"/>
                <w:szCs w:val="20"/>
                <w:lang w:val="en-GB"/>
              </w:rPr>
              <w:lastRenderedPageBreak/>
              <w:t>PAR Area</w:t>
            </w:r>
          </w:p>
        </w:tc>
        <w:tc>
          <w:tcPr>
            <w:tcW w:w="2400" w:type="dxa"/>
            <w:tcBorders>
              <w:bottom w:val="single" w:sz="4" w:space="0" w:color="000000"/>
            </w:tcBorders>
            <w:shd w:val="clear" w:color="auto" w:fill="auto"/>
            <w:vAlign w:val="center"/>
          </w:tcPr>
          <w:p w14:paraId="4EC45628" w14:textId="77777777" w:rsidR="008E1940" w:rsidRPr="009952A2" w:rsidRDefault="008E1940" w:rsidP="00A34D33">
            <w:pPr>
              <w:spacing w:after="60"/>
              <w:rPr>
                <w:rFonts w:ascii="Myriad Pro" w:hAnsi="Myriad Pro"/>
                <w:b/>
                <w:sz w:val="20"/>
                <w:szCs w:val="20"/>
                <w:lang w:val="en-GB"/>
              </w:rPr>
            </w:pPr>
            <w:r w:rsidRPr="009952A2">
              <w:rPr>
                <w:rFonts w:ascii="Myriad Pro" w:hAnsi="Myriad Pro"/>
                <w:b/>
                <w:sz w:val="20"/>
                <w:szCs w:val="20"/>
                <w:lang w:val="en-GB"/>
              </w:rPr>
              <w:t>ACCOUNTABILITY</w:t>
            </w:r>
          </w:p>
        </w:tc>
        <w:tc>
          <w:tcPr>
            <w:tcW w:w="2400" w:type="dxa"/>
            <w:tcBorders>
              <w:bottom w:val="single" w:sz="4" w:space="0" w:color="000000"/>
            </w:tcBorders>
            <w:shd w:val="clear" w:color="auto" w:fill="2A388F"/>
            <w:vAlign w:val="center"/>
          </w:tcPr>
          <w:p w14:paraId="5D2A1578" w14:textId="77777777" w:rsidR="008E1940" w:rsidRPr="009952A2" w:rsidRDefault="008E1940" w:rsidP="00A34D33">
            <w:pPr>
              <w:spacing w:after="60"/>
              <w:rPr>
                <w:rFonts w:ascii="Myriad Pro" w:hAnsi="Myriad Pro"/>
                <w:b/>
                <w:color w:val="FFFFFF"/>
                <w:sz w:val="20"/>
                <w:szCs w:val="20"/>
                <w:lang w:val="en-GB"/>
              </w:rPr>
            </w:pPr>
            <w:r w:rsidRPr="009952A2">
              <w:rPr>
                <w:rFonts w:ascii="Myriad Pro" w:hAnsi="Myriad Pro"/>
                <w:b/>
                <w:color w:val="FFFFFF"/>
                <w:sz w:val="20"/>
                <w:szCs w:val="20"/>
                <w:lang w:val="en-GB"/>
              </w:rPr>
              <w:t>Country</w:t>
            </w:r>
          </w:p>
        </w:tc>
        <w:tc>
          <w:tcPr>
            <w:tcW w:w="2400" w:type="dxa"/>
            <w:tcBorders>
              <w:bottom w:val="single" w:sz="4" w:space="0" w:color="000000"/>
            </w:tcBorders>
            <w:shd w:val="clear" w:color="auto" w:fill="auto"/>
            <w:vAlign w:val="center"/>
          </w:tcPr>
          <w:p w14:paraId="32868DBD" w14:textId="63DF9E14" w:rsidR="008E1940" w:rsidRPr="009952A2" w:rsidRDefault="00581D84" w:rsidP="009D7B61">
            <w:pPr>
              <w:spacing w:after="60"/>
              <w:rPr>
                <w:rFonts w:ascii="Myriad Pro" w:hAnsi="Myriad Pro"/>
                <w:b/>
                <w:sz w:val="20"/>
                <w:szCs w:val="20"/>
                <w:lang w:val="en-GB"/>
              </w:rPr>
            </w:pPr>
            <w:r w:rsidRPr="009952A2">
              <w:rPr>
                <w:rFonts w:ascii="Myriad Pro" w:hAnsi="Myriad Pro"/>
                <w:b/>
                <w:sz w:val="20"/>
                <w:szCs w:val="20"/>
                <w:lang w:val="en-GB"/>
              </w:rPr>
              <w:t>B</w:t>
            </w:r>
            <w:r w:rsidR="00FD22AE" w:rsidRPr="009952A2">
              <w:rPr>
                <w:rFonts w:ascii="Myriad Pro" w:hAnsi="Myriad Pro"/>
                <w:b/>
                <w:sz w:val="20"/>
                <w:szCs w:val="20"/>
                <w:lang w:val="en-GB"/>
              </w:rPr>
              <w:t>OSNIA AND HERZEGOVINA</w:t>
            </w:r>
          </w:p>
        </w:tc>
      </w:tr>
      <w:tr w:rsidR="00264833" w:rsidRPr="009952A2" w14:paraId="74874C13" w14:textId="77777777" w:rsidTr="00530A29">
        <w:tc>
          <w:tcPr>
            <w:tcW w:w="2088" w:type="dxa"/>
            <w:tcBorders>
              <w:top w:val="single" w:sz="4" w:space="0" w:color="000000"/>
            </w:tcBorders>
            <w:shd w:val="clear" w:color="auto" w:fill="2A388F"/>
            <w:vAlign w:val="center"/>
          </w:tcPr>
          <w:p w14:paraId="46332106" w14:textId="77777777" w:rsidR="00FF3B65" w:rsidRPr="009952A2" w:rsidRDefault="00FF3B65" w:rsidP="00A34D33">
            <w:pPr>
              <w:spacing w:after="60"/>
              <w:rPr>
                <w:rFonts w:ascii="Myriad Pro" w:hAnsi="Myriad Pro"/>
                <w:b/>
                <w:color w:val="FFFFFF"/>
                <w:sz w:val="20"/>
                <w:szCs w:val="20"/>
                <w:lang w:val="en-GB"/>
              </w:rPr>
            </w:pPr>
            <w:r w:rsidRPr="009952A2">
              <w:rPr>
                <w:rFonts w:ascii="Myriad Pro" w:hAnsi="Myriad Pro"/>
                <w:b/>
                <w:color w:val="FFFFFF"/>
                <w:sz w:val="20"/>
                <w:szCs w:val="20"/>
                <w:lang w:val="en-GB"/>
              </w:rPr>
              <w:t>SIGMA Principle</w:t>
            </w:r>
          </w:p>
        </w:tc>
        <w:tc>
          <w:tcPr>
            <w:tcW w:w="7200" w:type="dxa"/>
            <w:gridSpan w:val="3"/>
            <w:tcBorders>
              <w:top w:val="single" w:sz="4" w:space="0" w:color="000000"/>
            </w:tcBorders>
            <w:shd w:val="clear" w:color="auto" w:fill="auto"/>
            <w:vAlign w:val="center"/>
          </w:tcPr>
          <w:p w14:paraId="3286B2D4" w14:textId="77777777" w:rsidR="00FF3B65" w:rsidRPr="009952A2" w:rsidRDefault="008E1940" w:rsidP="00A34D33">
            <w:pPr>
              <w:spacing w:after="60"/>
              <w:rPr>
                <w:rFonts w:ascii="Myriad Pro" w:hAnsi="Myriad Pro"/>
                <w:b/>
                <w:i/>
                <w:sz w:val="20"/>
                <w:szCs w:val="20"/>
                <w:lang w:val="en-GB"/>
              </w:rPr>
            </w:pPr>
            <w:r w:rsidRPr="009952A2">
              <w:rPr>
                <w:rFonts w:ascii="Myriad Pro" w:hAnsi="Myriad Pro"/>
                <w:b/>
                <w:i/>
                <w:sz w:val="20"/>
                <w:szCs w:val="20"/>
                <w:lang w:val="en-GB"/>
              </w:rPr>
              <w:t>2.</w:t>
            </w:r>
            <w:r w:rsidR="001979C1" w:rsidRPr="009952A2">
              <w:rPr>
                <w:rFonts w:ascii="Myriad Pro" w:hAnsi="Myriad Pro"/>
                <w:b/>
                <w:i/>
                <w:sz w:val="20"/>
                <w:szCs w:val="20"/>
                <w:lang w:val="en-GB"/>
              </w:rPr>
              <w:t xml:space="preserve"> </w:t>
            </w:r>
            <w:r w:rsidR="005748EC" w:rsidRPr="009952A2">
              <w:rPr>
                <w:rFonts w:ascii="Myriad Pro" w:hAnsi="Myriad Pro"/>
                <w:b/>
                <w:i/>
                <w:sz w:val="20"/>
                <w:szCs w:val="20"/>
                <w:lang w:val="en-GB"/>
              </w:rPr>
              <w:t>The right to access public information is enacted in legislation and consistently applied in practice</w:t>
            </w:r>
          </w:p>
        </w:tc>
      </w:tr>
    </w:tbl>
    <w:p w14:paraId="057E65AC" w14:textId="77777777" w:rsidR="00326DD9" w:rsidRPr="009952A2" w:rsidRDefault="00326DD9" w:rsidP="00A34D33">
      <w:pPr>
        <w:spacing w:after="60"/>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009"/>
      </w:tblGrid>
      <w:tr w:rsidR="00264833" w:rsidRPr="009952A2" w14:paraId="4D417D3F" w14:textId="77777777" w:rsidTr="00264833">
        <w:trPr>
          <w:trHeight w:val="356"/>
        </w:trPr>
        <w:tc>
          <w:tcPr>
            <w:tcW w:w="2088" w:type="dxa"/>
            <w:tcBorders>
              <w:bottom w:val="double" w:sz="4" w:space="0" w:color="5B9BD5"/>
            </w:tcBorders>
            <w:shd w:val="clear" w:color="auto" w:fill="28A8E0"/>
            <w:vAlign w:val="center"/>
          </w:tcPr>
          <w:p w14:paraId="5D0F3932" w14:textId="77777777" w:rsidR="00BD0320" w:rsidRPr="009952A2" w:rsidRDefault="00BD0320" w:rsidP="00A34D33">
            <w:pPr>
              <w:spacing w:after="60"/>
              <w:rPr>
                <w:rFonts w:ascii="Myriad Pro" w:hAnsi="Myriad Pro"/>
                <w:b/>
                <w:sz w:val="20"/>
                <w:szCs w:val="20"/>
                <w:lang w:val="en-GB"/>
              </w:rPr>
            </w:pPr>
            <w:r w:rsidRPr="009952A2">
              <w:rPr>
                <w:rFonts w:ascii="Myriad Pro" w:hAnsi="Myriad Pro"/>
                <w:b/>
                <w:sz w:val="20"/>
                <w:szCs w:val="20"/>
                <w:lang w:val="en-GB"/>
              </w:rPr>
              <w:t>WeBER Indicator</w:t>
            </w:r>
          </w:p>
        </w:tc>
        <w:tc>
          <w:tcPr>
            <w:tcW w:w="7200" w:type="dxa"/>
            <w:tcBorders>
              <w:bottom w:val="double" w:sz="4" w:space="0" w:color="5B9BD5"/>
            </w:tcBorders>
            <w:shd w:val="clear" w:color="auto" w:fill="auto"/>
            <w:vAlign w:val="center"/>
          </w:tcPr>
          <w:p w14:paraId="2C121878" w14:textId="77777777" w:rsidR="00BD0320" w:rsidRPr="009952A2" w:rsidRDefault="001979C1" w:rsidP="00A34D33">
            <w:pPr>
              <w:spacing w:after="60"/>
              <w:rPr>
                <w:rFonts w:ascii="Myriad Pro" w:hAnsi="Myriad Pro"/>
                <w:b/>
                <w:i/>
                <w:sz w:val="20"/>
                <w:szCs w:val="20"/>
                <w:lang w:val="en-GB"/>
              </w:rPr>
            </w:pPr>
            <w:r w:rsidRPr="009952A2">
              <w:rPr>
                <w:rFonts w:ascii="Myriad Pro" w:hAnsi="Myriad Pro"/>
                <w:b/>
                <w:i/>
                <w:sz w:val="20"/>
                <w:szCs w:val="20"/>
                <w:lang w:val="en-GB"/>
              </w:rPr>
              <w:t>ACC</w:t>
            </w:r>
            <w:r w:rsidR="002E4DBE" w:rsidRPr="009952A2">
              <w:rPr>
                <w:rFonts w:ascii="Myriad Pro" w:hAnsi="Myriad Pro"/>
                <w:b/>
                <w:i/>
                <w:sz w:val="20"/>
                <w:szCs w:val="20"/>
                <w:lang w:val="en-GB"/>
              </w:rPr>
              <w:t>_</w:t>
            </w:r>
            <w:r w:rsidRPr="009952A2">
              <w:rPr>
                <w:rFonts w:ascii="Myriad Pro" w:hAnsi="Myriad Pro"/>
                <w:b/>
                <w:i/>
                <w:sz w:val="20"/>
                <w:szCs w:val="20"/>
                <w:lang w:val="en-GB"/>
              </w:rPr>
              <w:t>P2</w:t>
            </w:r>
            <w:r w:rsidR="002E4DBE" w:rsidRPr="009952A2">
              <w:rPr>
                <w:rFonts w:ascii="Myriad Pro" w:hAnsi="Myriad Pro"/>
                <w:b/>
                <w:i/>
                <w:sz w:val="20"/>
                <w:szCs w:val="20"/>
                <w:lang w:val="en-GB"/>
              </w:rPr>
              <w:t>_</w:t>
            </w:r>
            <w:r w:rsidRPr="009952A2">
              <w:rPr>
                <w:rFonts w:ascii="Myriad Pro" w:hAnsi="Myriad Pro"/>
                <w:b/>
                <w:i/>
                <w:sz w:val="20"/>
                <w:szCs w:val="20"/>
                <w:lang w:val="en-GB"/>
              </w:rPr>
              <w:t xml:space="preserve">I2: </w:t>
            </w:r>
            <w:r w:rsidR="00A34D33" w:rsidRPr="009952A2">
              <w:rPr>
                <w:rFonts w:ascii="Myriad Pro" w:hAnsi="Myriad Pro"/>
                <w:b/>
                <w:i/>
                <w:sz w:val="20"/>
                <w:szCs w:val="20"/>
                <w:lang w:val="en-GB"/>
              </w:rPr>
              <w:t>P</w:t>
            </w:r>
            <w:r w:rsidR="005748EC" w:rsidRPr="009952A2">
              <w:rPr>
                <w:rFonts w:ascii="Myriad Pro" w:hAnsi="Myriad Pro"/>
                <w:b/>
                <w:i/>
                <w:sz w:val="20"/>
                <w:szCs w:val="20"/>
                <w:lang w:val="en-GB"/>
              </w:rPr>
              <w:t>roactive informing of the public by public authorities</w:t>
            </w:r>
          </w:p>
        </w:tc>
      </w:tr>
      <w:tr w:rsidR="00264833" w:rsidRPr="009952A2" w14:paraId="091F33A6" w14:textId="77777777" w:rsidTr="00264833">
        <w:trPr>
          <w:trHeight w:val="20"/>
        </w:trPr>
        <w:tc>
          <w:tcPr>
            <w:tcW w:w="9288" w:type="dxa"/>
            <w:gridSpan w:val="2"/>
            <w:tcBorders>
              <w:bottom w:val="double" w:sz="4" w:space="0" w:color="5B9BD5"/>
            </w:tcBorders>
            <w:shd w:val="clear" w:color="auto" w:fill="FFC000"/>
            <w:vAlign w:val="center"/>
          </w:tcPr>
          <w:p w14:paraId="646EC8EE" w14:textId="77777777" w:rsidR="00BD0320" w:rsidRPr="009952A2" w:rsidRDefault="00BD0320" w:rsidP="00A34D33">
            <w:pPr>
              <w:spacing w:after="60"/>
              <w:rPr>
                <w:rFonts w:ascii="Myriad Pro" w:hAnsi="Myriad Pro"/>
                <w:b/>
                <w:sz w:val="20"/>
                <w:szCs w:val="20"/>
                <w:lang w:val="en-GB"/>
              </w:rPr>
            </w:pPr>
            <w:r w:rsidRPr="009952A2">
              <w:rPr>
                <w:rFonts w:ascii="Myriad Pro" w:hAnsi="Myriad Pro"/>
                <w:b/>
                <w:sz w:val="20"/>
                <w:szCs w:val="20"/>
                <w:lang w:val="en-GB"/>
              </w:rPr>
              <w:t>Indicator approach</w:t>
            </w:r>
          </w:p>
        </w:tc>
      </w:tr>
      <w:tr w:rsidR="00BD0320" w:rsidRPr="009952A2" w14:paraId="486AB79E" w14:textId="77777777" w:rsidTr="00264833">
        <w:tc>
          <w:tcPr>
            <w:tcW w:w="9288" w:type="dxa"/>
            <w:gridSpan w:val="2"/>
            <w:tcBorders>
              <w:bottom w:val="double" w:sz="4" w:space="0" w:color="5B9BD5"/>
            </w:tcBorders>
            <w:shd w:val="clear" w:color="auto" w:fill="auto"/>
            <w:vAlign w:val="center"/>
          </w:tcPr>
          <w:p w14:paraId="0D0D0AF9" w14:textId="77777777" w:rsidR="001B7DEC" w:rsidRPr="009952A2" w:rsidRDefault="005748EC" w:rsidP="00C224A2">
            <w:pPr>
              <w:spacing w:after="60" w:line="240" w:lineRule="auto"/>
              <w:jc w:val="both"/>
              <w:rPr>
                <w:rFonts w:ascii="Myriad Pro" w:hAnsi="Myriad Pro"/>
                <w:i/>
                <w:sz w:val="20"/>
                <w:szCs w:val="20"/>
                <w:lang w:val="en-GB"/>
              </w:rPr>
            </w:pPr>
            <w:r w:rsidRPr="009952A2">
              <w:rPr>
                <w:rFonts w:ascii="Myriad Pro" w:hAnsi="Myriad Pro"/>
                <w:i/>
                <w:sz w:val="20"/>
                <w:szCs w:val="20"/>
                <w:lang w:val="en-GB"/>
              </w:rPr>
              <w:t>This indicator focuses on the proactivity of public authorities in informing the public, particularly through comprehensiveness, timeliness and clarity of information disseminated through official websit</w:t>
            </w:r>
            <w:r w:rsidR="001B7DEC" w:rsidRPr="009952A2">
              <w:rPr>
                <w:rFonts w:ascii="Myriad Pro" w:hAnsi="Myriad Pro"/>
                <w:i/>
                <w:sz w:val="20"/>
                <w:szCs w:val="20"/>
                <w:lang w:val="en-GB"/>
              </w:rPr>
              <w:t>es</w:t>
            </w:r>
            <w:r w:rsidRPr="009952A2">
              <w:rPr>
                <w:rFonts w:ascii="Myriad Pro" w:hAnsi="Myriad Pro"/>
                <w:i/>
                <w:sz w:val="20"/>
                <w:szCs w:val="20"/>
                <w:lang w:val="en-GB"/>
              </w:rPr>
              <w:t>.</w:t>
            </w:r>
            <w:r w:rsidR="00D0781B" w:rsidRPr="009952A2">
              <w:rPr>
                <w:rFonts w:ascii="Myriad Pro" w:hAnsi="Myriad Pro"/>
                <w:i/>
                <w:sz w:val="20"/>
                <w:szCs w:val="20"/>
                <w:lang w:val="en-GB"/>
              </w:rPr>
              <w:t xml:space="preserve"> </w:t>
            </w:r>
            <w:r w:rsidRPr="009952A2">
              <w:rPr>
                <w:rFonts w:ascii="Myriad Pro" w:hAnsi="Myriad Pro"/>
                <w:i/>
                <w:sz w:val="20"/>
                <w:szCs w:val="20"/>
                <w:lang w:val="en-GB"/>
              </w:rPr>
              <w:t>Indicator consists of 18 elements (sub-indicators), assess</w:t>
            </w:r>
            <w:r w:rsidR="001B7DEC" w:rsidRPr="009952A2">
              <w:rPr>
                <w:rFonts w:ascii="Myriad Pro" w:hAnsi="Myriad Pro"/>
                <w:i/>
                <w:sz w:val="20"/>
                <w:szCs w:val="20"/>
                <w:lang w:val="en-GB"/>
              </w:rPr>
              <w:t>ing relevant information</w:t>
            </w:r>
            <w:r w:rsidRPr="009952A2">
              <w:rPr>
                <w:rFonts w:ascii="Myriad Pro" w:hAnsi="Myriad Pro"/>
                <w:i/>
                <w:sz w:val="20"/>
                <w:szCs w:val="20"/>
                <w:lang w:val="en-GB"/>
              </w:rPr>
              <w:t xml:space="preserve"> agains</w:t>
            </w:r>
            <w:r w:rsidR="001B7DEC" w:rsidRPr="009952A2">
              <w:rPr>
                <w:rFonts w:ascii="Myriad Pro" w:hAnsi="Myriad Pro"/>
                <w:i/>
                <w:sz w:val="20"/>
                <w:szCs w:val="20"/>
                <w:lang w:val="en-GB"/>
              </w:rPr>
              <w:t xml:space="preserve">t two groups of criteria: 1) completeness and </w:t>
            </w:r>
            <w:proofErr w:type="gramStart"/>
            <w:r w:rsidR="001B7DEC" w:rsidRPr="009952A2">
              <w:rPr>
                <w:rFonts w:ascii="Myriad Pro" w:hAnsi="Myriad Pro"/>
                <w:i/>
                <w:sz w:val="20"/>
                <w:szCs w:val="20"/>
                <w:lang w:val="en-GB"/>
              </w:rPr>
              <w:t>up-to-date</w:t>
            </w:r>
            <w:proofErr w:type="gramEnd"/>
            <w:r w:rsidR="001B7DEC" w:rsidRPr="009952A2">
              <w:rPr>
                <w:rFonts w:ascii="Myriad Pro" w:hAnsi="Myriad Pro"/>
                <w:i/>
                <w:sz w:val="20"/>
                <w:szCs w:val="20"/>
                <w:lang w:val="en-GB"/>
              </w:rPr>
              <w:t>, 2) accessibility and citizen-friendliness.</w:t>
            </w:r>
            <w:r w:rsidR="008A05A7" w:rsidRPr="009952A2">
              <w:rPr>
                <w:rFonts w:ascii="Myriad Pro" w:hAnsi="Myriad Pro"/>
                <w:i/>
                <w:sz w:val="20"/>
                <w:szCs w:val="20"/>
                <w:lang w:val="en-GB"/>
              </w:rPr>
              <w:t xml:space="preserve"> </w:t>
            </w:r>
            <w:r w:rsidR="00D47D25" w:rsidRPr="009952A2">
              <w:rPr>
                <w:rFonts w:ascii="Myriad Pro" w:hAnsi="Myriad Pro"/>
                <w:i/>
                <w:sz w:val="20"/>
                <w:szCs w:val="20"/>
                <w:lang w:val="en-GB"/>
              </w:rPr>
              <w:t>The element related to</w:t>
            </w:r>
            <w:r w:rsidR="001B7DEC" w:rsidRPr="009952A2">
              <w:rPr>
                <w:rFonts w:ascii="Myriad Pro" w:hAnsi="Myriad Pro"/>
                <w:i/>
                <w:sz w:val="20"/>
                <w:szCs w:val="20"/>
                <w:lang w:val="en-GB"/>
              </w:rPr>
              <w:t xml:space="preserve"> open data in public administration</w:t>
            </w:r>
            <w:r w:rsidR="00D47D25" w:rsidRPr="009952A2">
              <w:rPr>
                <w:rFonts w:ascii="Myriad Pro" w:hAnsi="Myriad Pro"/>
                <w:i/>
                <w:sz w:val="20"/>
                <w:szCs w:val="20"/>
                <w:lang w:val="en-GB"/>
              </w:rPr>
              <w:t>,</w:t>
            </w:r>
            <w:r w:rsidR="001B7DEC" w:rsidRPr="009952A2">
              <w:rPr>
                <w:rFonts w:ascii="Myriad Pro" w:hAnsi="Myriad Pro"/>
                <w:i/>
                <w:sz w:val="20"/>
                <w:szCs w:val="20"/>
                <w:lang w:val="en-GB"/>
              </w:rPr>
              <w:t xml:space="preserve"> as a </w:t>
            </w:r>
            <w:r w:rsidR="00D47D25" w:rsidRPr="009952A2">
              <w:rPr>
                <w:rFonts w:ascii="Myriad Pro" w:hAnsi="Myriad Pro"/>
                <w:i/>
                <w:sz w:val="20"/>
                <w:szCs w:val="20"/>
                <w:lang w:val="en-GB"/>
              </w:rPr>
              <w:t xml:space="preserve">proactive </w:t>
            </w:r>
            <w:r w:rsidR="001B7DEC" w:rsidRPr="009952A2">
              <w:rPr>
                <w:rFonts w:ascii="Myriad Pro" w:hAnsi="Myriad Pro"/>
                <w:i/>
                <w:sz w:val="20"/>
                <w:szCs w:val="20"/>
                <w:lang w:val="en-GB"/>
              </w:rPr>
              <w:t xml:space="preserve">way </w:t>
            </w:r>
            <w:r w:rsidR="00D47D25" w:rsidRPr="009952A2">
              <w:rPr>
                <w:rFonts w:ascii="Myriad Pro" w:hAnsi="Myriad Pro"/>
                <w:i/>
                <w:sz w:val="20"/>
                <w:szCs w:val="20"/>
                <w:lang w:val="en-GB"/>
              </w:rPr>
              <w:t xml:space="preserve">of </w:t>
            </w:r>
            <w:r w:rsidR="001B7DEC" w:rsidRPr="009952A2">
              <w:rPr>
                <w:rFonts w:ascii="Myriad Pro" w:hAnsi="Myriad Pro"/>
                <w:i/>
                <w:sz w:val="20"/>
                <w:szCs w:val="20"/>
                <w:lang w:val="en-GB"/>
              </w:rPr>
              <w:t>informing the public</w:t>
            </w:r>
            <w:r w:rsidR="00D47D25" w:rsidRPr="009952A2">
              <w:rPr>
                <w:rFonts w:ascii="Myriad Pro" w:hAnsi="Myriad Pro"/>
                <w:i/>
                <w:sz w:val="20"/>
                <w:szCs w:val="20"/>
                <w:lang w:val="en-GB"/>
              </w:rPr>
              <w:t>,</w:t>
            </w:r>
            <w:r w:rsidR="001B7DEC" w:rsidRPr="009952A2">
              <w:rPr>
                <w:rFonts w:ascii="Myriad Pro" w:hAnsi="Myriad Pro"/>
                <w:i/>
                <w:sz w:val="20"/>
                <w:szCs w:val="20"/>
                <w:lang w:val="en-GB"/>
              </w:rPr>
              <w:t xml:space="preserve"> </w:t>
            </w:r>
            <w:r w:rsidR="008A05A7" w:rsidRPr="009952A2">
              <w:rPr>
                <w:rFonts w:ascii="Myriad Pro" w:hAnsi="Myriad Pro"/>
                <w:i/>
                <w:sz w:val="20"/>
                <w:szCs w:val="20"/>
                <w:lang w:val="en-GB"/>
              </w:rPr>
              <w:t xml:space="preserve">is </w:t>
            </w:r>
            <w:r w:rsidR="001B7DEC" w:rsidRPr="009952A2">
              <w:rPr>
                <w:rFonts w:ascii="Myriad Pro" w:hAnsi="Myriad Pro"/>
                <w:i/>
                <w:sz w:val="20"/>
                <w:szCs w:val="20"/>
                <w:lang w:val="en-GB"/>
              </w:rPr>
              <w:t>assessed</w:t>
            </w:r>
            <w:r w:rsidR="008A05A7" w:rsidRPr="009952A2">
              <w:rPr>
                <w:rFonts w:ascii="Myriad Pro" w:hAnsi="Myriad Pro"/>
                <w:i/>
                <w:sz w:val="20"/>
                <w:szCs w:val="20"/>
                <w:lang w:val="en-GB"/>
              </w:rPr>
              <w:t xml:space="preserve"> using </w:t>
            </w:r>
            <w:r w:rsidR="001B7DEC" w:rsidRPr="009952A2">
              <w:rPr>
                <w:rFonts w:ascii="Myriad Pro" w:hAnsi="Myriad Pro"/>
                <w:i/>
                <w:sz w:val="20"/>
                <w:szCs w:val="20"/>
                <w:lang w:val="en-GB"/>
              </w:rPr>
              <w:t>separate</w:t>
            </w:r>
            <w:r w:rsidR="008A05A7" w:rsidRPr="009952A2">
              <w:rPr>
                <w:rFonts w:ascii="Myriad Pro" w:hAnsi="Myriad Pro"/>
                <w:i/>
                <w:sz w:val="20"/>
                <w:szCs w:val="20"/>
                <w:lang w:val="en-GB"/>
              </w:rPr>
              <w:t xml:space="preserve"> criteria</w:t>
            </w:r>
            <w:r w:rsidR="001B7DEC" w:rsidRPr="009952A2">
              <w:rPr>
                <w:rFonts w:ascii="Myriad Pro" w:hAnsi="Myriad Pro"/>
                <w:i/>
                <w:sz w:val="20"/>
                <w:szCs w:val="20"/>
                <w:lang w:val="en-GB"/>
              </w:rPr>
              <w:t>. Analysis was done on the sample of seven central administration institutions</w:t>
            </w:r>
            <w:r w:rsidR="008A05A7" w:rsidRPr="009952A2">
              <w:rPr>
                <w:rFonts w:ascii="Myriad Pro" w:hAnsi="Myriad Pro"/>
                <w:i/>
                <w:sz w:val="20"/>
                <w:szCs w:val="20"/>
                <w:lang w:val="en-GB"/>
              </w:rPr>
              <w:t>,</w:t>
            </w:r>
            <w:r w:rsidR="001B7DEC" w:rsidRPr="009952A2">
              <w:rPr>
                <w:rFonts w:ascii="Myriad Pro" w:hAnsi="Myriad Pro"/>
                <w:i/>
                <w:sz w:val="20"/>
                <w:szCs w:val="20"/>
                <w:lang w:val="en-GB"/>
              </w:rPr>
              <w:t xml:space="preserve"> consisting of</w:t>
            </w:r>
            <w:r w:rsidR="008A05A7" w:rsidRPr="009952A2">
              <w:rPr>
                <w:rFonts w:ascii="Myriad Pro" w:hAnsi="Myriad Pro"/>
                <w:i/>
                <w:sz w:val="20"/>
                <w:szCs w:val="20"/>
                <w:lang w:val="en-GB"/>
              </w:rPr>
              <w:t xml:space="preserve"> three</w:t>
            </w:r>
            <w:r w:rsidR="001B7DEC" w:rsidRPr="009952A2">
              <w:rPr>
                <w:rFonts w:ascii="Myriad Pro" w:hAnsi="Myriad Pro"/>
                <w:i/>
                <w:sz w:val="20"/>
                <w:szCs w:val="20"/>
                <w:lang w:val="en-GB"/>
              </w:rPr>
              <w:t xml:space="preserve"> line ministries, </w:t>
            </w:r>
            <w:r w:rsidR="00D47D25" w:rsidRPr="009952A2">
              <w:rPr>
                <w:rFonts w:ascii="Myriad Pro" w:hAnsi="Myriad Pro"/>
                <w:i/>
                <w:sz w:val="20"/>
                <w:szCs w:val="20"/>
                <w:lang w:val="en-GB"/>
              </w:rPr>
              <w:t>one</w:t>
            </w:r>
            <w:r w:rsidR="001B7DEC" w:rsidRPr="009952A2">
              <w:rPr>
                <w:rFonts w:ascii="Myriad Pro" w:hAnsi="Myriad Pro"/>
                <w:i/>
                <w:sz w:val="20"/>
                <w:szCs w:val="20"/>
                <w:lang w:val="en-GB"/>
              </w:rPr>
              <w:t xml:space="preserve"> ministry with general planning and coordination function, </w:t>
            </w:r>
            <w:r w:rsidR="00D47D25" w:rsidRPr="009952A2">
              <w:rPr>
                <w:rFonts w:ascii="Myriad Pro" w:hAnsi="Myriad Pro"/>
                <w:i/>
                <w:sz w:val="20"/>
                <w:szCs w:val="20"/>
                <w:lang w:val="en-GB"/>
              </w:rPr>
              <w:t>one</w:t>
            </w:r>
            <w:r w:rsidR="001B7DEC" w:rsidRPr="009952A2">
              <w:rPr>
                <w:rFonts w:ascii="Myriad Pro" w:hAnsi="Myriad Pro"/>
                <w:i/>
                <w:sz w:val="20"/>
                <w:szCs w:val="20"/>
                <w:lang w:val="en-GB"/>
              </w:rPr>
              <w:t xml:space="preserve"> government office/agency with CoG function, </w:t>
            </w:r>
            <w:r w:rsidR="00D47D25" w:rsidRPr="009952A2">
              <w:rPr>
                <w:rFonts w:ascii="Myriad Pro" w:hAnsi="Myriad Pro"/>
                <w:i/>
                <w:sz w:val="20"/>
                <w:szCs w:val="20"/>
                <w:lang w:val="en-GB"/>
              </w:rPr>
              <w:t>one</w:t>
            </w:r>
            <w:r w:rsidR="001B7DEC" w:rsidRPr="009952A2">
              <w:rPr>
                <w:rFonts w:ascii="Myriad Pro" w:hAnsi="Myriad Pro"/>
                <w:i/>
                <w:sz w:val="20"/>
                <w:szCs w:val="20"/>
                <w:lang w:val="en-GB"/>
              </w:rPr>
              <w:t xml:space="preserve"> subordinate body/agency</w:t>
            </w:r>
            <w:r w:rsidR="008A05A7" w:rsidRPr="009952A2">
              <w:rPr>
                <w:rFonts w:ascii="Myriad Pro" w:hAnsi="Myriad Pro"/>
                <w:i/>
                <w:sz w:val="20"/>
                <w:szCs w:val="20"/>
                <w:lang w:val="en-GB"/>
              </w:rPr>
              <w:t xml:space="preserve"> </w:t>
            </w:r>
            <w:r w:rsidR="001B7DEC" w:rsidRPr="009952A2">
              <w:rPr>
                <w:rFonts w:ascii="Myriad Pro" w:hAnsi="Myriad Pro"/>
                <w:i/>
                <w:sz w:val="20"/>
                <w:szCs w:val="20"/>
                <w:lang w:val="en-GB"/>
              </w:rPr>
              <w:t xml:space="preserve">and </w:t>
            </w:r>
            <w:r w:rsidR="00D47D25" w:rsidRPr="009952A2">
              <w:rPr>
                <w:rFonts w:ascii="Myriad Pro" w:hAnsi="Myriad Pro"/>
                <w:i/>
                <w:sz w:val="20"/>
                <w:szCs w:val="20"/>
                <w:lang w:val="en-GB"/>
              </w:rPr>
              <w:t>one</w:t>
            </w:r>
            <w:r w:rsidR="001B7DEC" w:rsidRPr="009952A2">
              <w:rPr>
                <w:rFonts w:ascii="Myriad Pro" w:hAnsi="Myriad Pro"/>
                <w:i/>
                <w:sz w:val="20"/>
                <w:szCs w:val="20"/>
                <w:lang w:val="en-GB"/>
              </w:rPr>
              <w:t xml:space="preserve"> government office/agency in charge of delivering services.</w:t>
            </w:r>
          </w:p>
        </w:tc>
      </w:tr>
      <w:tr w:rsidR="00264833" w:rsidRPr="009952A2" w14:paraId="0F4CE6BA" w14:textId="77777777" w:rsidTr="00264833">
        <w:trPr>
          <w:trHeight w:val="185"/>
        </w:trPr>
        <w:tc>
          <w:tcPr>
            <w:tcW w:w="9288" w:type="dxa"/>
            <w:gridSpan w:val="2"/>
            <w:tcBorders>
              <w:top w:val="double" w:sz="4" w:space="0" w:color="5B9BD5"/>
            </w:tcBorders>
            <w:shd w:val="clear" w:color="auto" w:fill="FFC000"/>
            <w:vAlign w:val="center"/>
          </w:tcPr>
          <w:p w14:paraId="4112F4FA" w14:textId="77777777" w:rsidR="00BD0320" w:rsidRPr="009952A2" w:rsidRDefault="00BD0320" w:rsidP="00277D2F">
            <w:pPr>
              <w:spacing w:after="60" w:line="240" w:lineRule="auto"/>
              <w:rPr>
                <w:rFonts w:ascii="Myriad Pro" w:hAnsi="Myriad Pro"/>
                <w:b/>
                <w:sz w:val="20"/>
                <w:szCs w:val="20"/>
                <w:lang w:val="en-GB"/>
              </w:rPr>
            </w:pPr>
            <w:r w:rsidRPr="009952A2">
              <w:rPr>
                <w:rFonts w:ascii="Myriad Pro" w:hAnsi="Myriad Pro"/>
                <w:b/>
                <w:sz w:val="20"/>
                <w:szCs w:val="20"/>
                <w:lang w:val="en-GB"/>
              </w:rPr>
              <w:t>Summary of the findings</w:t>
            </w:r>
          </w:p>
        </w:tc>
      </w:tr>
      <w:tr w:rsidR="00BD0320" w:rsidRPr="009952A2" w14:paraId="61CF7AE6" w14:textId="77777777" w:rsidTr="00F3415A">
        <w:trPr>
          <w:trHeight w:val="329"/>
        </w:trPr>
        <w:tc>
          <w:tcPr>
            <w:tcW w:w="9288" w:type="dxa"/>
            <w:gridSpan w:val="2"/>
            <w:tcBorders>
              <w:top w:val="double" w:sz="4" w:space="0" w:color="5B9BD5"/>
              <w:bottom w:val="double" w:sz="4" w:space="0" w:color="5B9BD5"/>
            </w:tcBorders>
            <w:shd w:val="clear" w:color="auto" w:fill="auto"/>
            <w:vAlign w:val="center"/>
          </w:tcPr>
          <w:p w14:paraId="264C1140" w14:textId="58A12850" w:rsidR="009952A2" w:rsidRPr="009952A2" w:rsidRDefault="003714D7" w:rsidP="007D11C3">
            <w:pPr>
              <w:spacing w:after="60" w:line="240" w:lineRule="auto"/>
              <w:jc w:val="both"/>
              <w:rPr>
                <w:rFonts w:ascii="Myriad Pro" w:hAnsi="Myriad Pro"/>
                <w:i/>
                <w:sz w:val="20"/>
                <w:szCs w:val="20"/>
                <w:lang w:val="en-GB"/>
              </w:rPr>
            </w:pPr>
            <w:r w:rsidRPr="009952A2">
              <w:rPr>
                <w:rFonts w:ascii="Myriad Pro" w:hAnsi="Myriad Pro"/>
                <w:i/>
                <w:sz w:val="20"/>
                <w:szCs w:val="20"/>
                <w:lang w:val="en-GB"/>
              </w:rPr>
              <w:t xml:space="preserve">Information on </w:t>
            </w:r>
            <w:r w:rsidR="00217756">
              <w:rPr>
                <w:rFonts w:ascii="Myriad Pro" w:hAnsi="Myriad Pro"/>
                <w:i/>
                <w:sz w:val="20"/>
                <w:szCs w:val="20"/>
                <w:lang w:val="en-GB"/>
              </w:rPr>
              <w:t xml:space="preserve">the </w:t>
            </w:r>
            <w:r w:rsidRPr="009952A2">
              <w:rPr>
                <w:rFonts w:ascii="Myriad Pro" w:hAnsi="Myriad Pro"/>
                <w:i/>
                <w:sz w:val="20"/>
                <w:szCs w:val="20"/>
                <w:lang w:val="en-GB"/>
              </w:rPr>
              <w:t xml:space="preserve">scope of work on </w:t>
            </w:r>
            <w:r w:rsidR="00217756">
              <w:rPr>
                <w:rFonts w:ascii="Myriad Pro" w:hAnsi="Myriad Pro"/>
                <w:i/>
                <w:sz w:val="20"/>
                <w:szCs w:val="20"/>
                <w:lang w:val="en-GB"/>
              </w:rPr>
              <w:t xml:space="preserve">the </w:t>
            </w:r>
            <w:r w:rsidRPr="009952A2">
              <w:rPr>
                <w:rFonts w:ascii="Myriad Pro" w:hAnsi="Myriad Pro"/>
                <w:i/>
                <w:sz w:val="20"/>
                <w:szCs w:val="20"/>
                <w:lang w:val="en-GB"/>
              </w:rPr>
              <w:t>website of</w:t>
            </w:r>
            <w:r w:rsidR="00433220" w:rsidRPr="009952A2">
              <w:rPr>
                <w:rFonts w:ascii="Myriad Pro" w:hAnsi="Myriad Pro"/>
                <w:i/>
                <w:sz w:val="20"/>
                <w:szCs w:val="20"/>
                <w:lang w:val="en-GB"/>
              </w:rPr>
              <w:t xml:space="preserve"> the</w:t>
            </w:r>
            <w:r w:rsidRPr="009952A2">
              <w:rPr>
                <w:rFonts w:ascii="Myriad Pro" w:hAnsi="Myriad Pro"/>
                <w:i/>
                <w:sz w:val="20"/>
                <w:szCs w:val="20"/>
                <w:lang w:val="en-GB"/>
              </w:rPr>
              <w:t xml:space="preserve"> institutions </w:t>
            </w:r>
            <w:r w:rsidR="00433220" w:rsidRPr="009952A2">
              <w:rPr>
                <w:rFonts w:ascii="Myriad Pro" w:hAnsi="Myriad Pro"/>
                <w:i/>
                <w:sz w:val="20"/>
                <w:szCs w:val="20"/>
                <w:lang w:val="en-GB"/>
              </w:rPr>
              <w:t>is</w:t>
            </w:r>
            <w:r w:rsidRPr="009952A2">
              <w:rPr>
                <w:rFonts w:ascii="Myriad Pro" w:hAnsi="Myriad Pro"/>
                <w:i/>
                <w:sz w:val="20"/>
                <w:szCs w:val="20"/>
                <w:lang w:val="en-GB"/>
              </w:rPr>
              <w:t xml:space="preserve"> in line with the description in legal act</w:t>
            </w:r>
            <w:r w:rsidR="00433220" w:rsidRPr="009952A2">
              <w:rPr>
                <w:rFonts w:ascii="Myriad Pro" w:hAnsi="Myriad Pro"/>
                <w:i/>
                <w:sz w:val="20"/>
                <w:szCs w:val="20"/>
                <w:lang w:val="en-GB"/>
              </w:rPr>
              <w:t xml:space="preserve">s for all sampled institutions. This information is easily accessible on the websites, but all the institutions have </w:t>
            </w:r>
            <w:r w:rsidR="008F0601" w:rsidRPr="009952A2">
              <w:rPr>
                <w:rFonts w:ascii="Myriad Pro" w:hAnsi="Myriad Pro"/>
                <w:i/>
                <w:sz w:val="20"/>
                <w:szCs w:val="20"/>
                <w:lang w:val="en-GB"/>
              </w:rPr>
              <w:t>copied</w:t>
            </w:r>
            <w:r w:rsidR="00433220" w:rsidRPr="009952A2">
              <w:rPr>
                <w:rFonts w:ascii="Myriad Pro" w:hAnsi="Myriad Pro"/>
                <w:i/>
                <w:sz w:val="20"/>
                <w:szCs w:val="20"/>
                <w:lang w:val="en-GB"/>
              </w:rPr>
              <w:t xml:space="preserve"> </w:t>
            </w:r>
            <w:r w:rsidR="006700DA" w:rsidRPr="009952A2">
              <w:rPr>
                <w:rFonts w:ascii="Myriad Pro" w:hAnsi="Myriad Pro"/>
                <w:i/>
                <w:sz w:val="20"/>
                <w:szCs w:val="20"/>
                <w:lang w:val="en-GB"/>
              </w:rPr>
              <w:t>information, which</w:t>
            </w:r>
            <w:r w:rsidR="00433220" w:rsidRPr="009952A2">
              <w:rPr>
                <w:rFonts w:ascii="Myriad Pro" w:hAnsi="Myriad Pro"/>
                <w:i/>
                <w:sz w:val="20"/>
                <w:szCs w:val="20"/>
                <w:lang w:val="en-GB"/>
              </w:rPr>
              <w:t xml:space="preserve"> is the same as in </w:t>
            </w:r>
            <w:r w:rsidR="009952A2" w:rsidRPr="009952A2">
              <w:rPr>
                <w:rFonts w:ascii="Myriad Pro" w:hAnsi="Myriad Pro"/>
                <w:i/>
                <w:sz w:val="20"/>
                <w:szCs w:val="20"/>
                <w:lang w:val="en-GB"/>
              </w:rPr>
              <w:t>l</w:t>
            </w:r>
            <w:r w:rsidR="00433220" w:rsidRPr="009952A2">
              <w:rPr>
                <w:rFonts w:ascii="Myriad Pro" w:hAnsi="Myriad Pro"/>
                <w:i/>
                <w:sz w:val="20"/>
                <w:szCs w:val="20"/>
                <w:lang w:val="en-GB"/>
              </w:rPr>
              <w:t>egal texts and is not presented</w:t>
            </w:r>
            <w:r w:rsidR="00E146DB">
              <w:rPr>
                <w:rFonts w:ascii="Myriad Pro" w:hAnsi="Myriad Pro"/>
                <w:i/>
                <w:sz w:val="20"/>
                <w:szCs w:val="20"/>
                <w:lang w:val="en-GB"/>
              </w:rPr>
              <w:t xml:space="preserve"> in a</w:t>
            </w:r>
            <w:r w:rsidR="00433220" w:rsidRPr="009952A2">
              <w:rPr>
                <w:rFonts w:ascii="Myriad Pro" w:hAnsi="Myriad Pro"/>
                <w:i/>
                <w:sz w:val="20"/>
                <w:szCs w:val="20"/>
                <w:lang w:val="en-GB"/>
              </w:rPr>
              <w:t xml:space="preserve"> citizen</w:t>
            </w:r>
            <w:r w:rsidR="008F0601" w:rsidRPr="009952A2">
              <w:rPr>
                <w:rFonts w:ascii="Myriad Pro" w:hAnsi="Myriad Pro"/>
                <w:i/>
                <w:sz w:val="20"/>
                <w:szCs w:val="20"/>
                <w:lang w:val="en-GB"/>
              </w:rPr>
              <w:t xml:space="preserve"> </w:t>
            </w:r>
            <w:r w:rsidR="00433220" w:rsidRPr="009952A2">
              <w:rPr>
                <w:rFonts w:ascii="Myriad Pro" w:hAnsi="Myriad Pro"/>
                <w:i/>
                <w:sz w:val="20"/>
                <w:szCs w:val="20"/>
                <w:lang w:val="en-GB"/>
              </w:rPr>
              <w:t>friendly</w:t>
            </w:r>
            <w:r w:rsidR="00E146DB">
              <w:rPr>
                <w:rFonts w:ascii="Myriad Pro" w:hAnsi="Myriad Pro"/>
                <w:i/>
                <w:sz w:val="20"/>
                <w:szCs w:val="20"/>
                <w:lang w:val="en-GB"/>
              </w:rPr>
              <w:t xml:space="preserve"> format</w:t>
            </w:r>
            <w:r w:rsidR="00433220" w:rsidRPr="009952A2">
              <w:rPr>
                <w:rFonts w:ascii="Myriad Pro" w:hAnsi="Myriad Pro"/>
                <w:i/>
                <w:sz w:val="20"/>
                <w:szCs w:val="20"/>
                <w:lang w:val="en-GB"/>
              </w:rPr>
              <w:t>.</w:t>
            </w:r>
            <w:r w:rsidR="00134825" w:rsidRPr="009952A2">
              <w:rPr>
                <w:rFonts w:ascii="Myriad Pro" w:hAnsi="Myriad Pro"/>
                <w:i/>
                <w:sz w:val="20"/>
                <w:szCs w:val="20"/>
                <w:lang w:val="en-GB"/>
              </w:rPr>
              <w:t xml:space="preserve"> When it comes to accountability, almost all sampled institutions provide complete and updated information on who they are responsible to, with exception for three ministries</w:t>
            </w:r>
            <w:r w:rsidR="007D11C3" w:rsidRPr="009952A2">
              <w:rPr>
                <w:rFonts w:ascii="Myriad Pro" w:hAnsi="Myriad Pro"/>
                <w:i/>
                <w:sz w:val="20"/>
                <w:szCs w:val="20"/>
                <w:lang w:val="en-GB"/>
              </w:rPr>
              <w:t>.</w:t>
            </w:r>
          </w:p>
          <w:p w14:paraId="0E5204B6" w14:textId="5A482112" w:rsidR="00DD5DFF" w:rsidRPr="009952A2" w:rsidRDefault="007D11C3" w:rsidP="007D11C3">
            <w:pPr>
              <w:spacing w:after="60" w:line="240" w:lineRule="auto"/>
              <w:jc w:val="both"/>
              <w:rPr>
                <w:rFonts w:ascii="Myriad Pro" w:hAnsi="Myriad Pro"/>
                <w:i/>
                <w:sz w:val="20"/>
                <w:szCs w:val="20"/>
                <w:lang w:val="en-GB"/>
              </w:rPr>
            </w:pPr>
            <w:r w:rsidRPr="009952A2">
              <w:rPr>
                <w:rFonts w:ascii="Myriad Pro" w:hAnsi="Myriad Pro"/>
                <w:i/>
                <w:sz w:val="20"/>
                <w:szCs w:val="20"/>
                <w:lang w:val="en-GB"/>
              </w:rPr>
              <w:t>Generally, information on relevant policy documents and legal acts is complete, up to date and accessible for sampled institution</w:t>
            </w:r>
            <w:r w:rsidR="00E146DB">
              <w:rPr>
                <w:rFonts w:ascii="Myriad Pro" w:hAnsi="Myriad Pro"/>
                <w:i/>
                <w:sz w:val="20"/>
                <w:szCs w:val="20"/>
                <w:lang w:val="en-GB"/>
              </w:rPr>
              <w:t>s</w:t>
            </w:r>
            <w:r w:rsidRPr="009952A2">
              <w:rPr>
                <w:rFonts w:ascii="Myriad Pro" w:hAnsi="Myriad Pro"/>
                <w:i/>
                <w:sz w:val="20"/>
                <w:szCs w:val="20"/>
                <w:lang w:val="en-GB"/>
              </w:rPr>
              <w:t>. This information is not regularly followed with textual explanations, so the lack of citizen-friendliness is evident for all institutions.</w:t>
            </w:r>
          </w:p>
          <w:p w14:paraId="15E559A6" w14:textId="06B8C26A" w:rsidR="009952A2" w:rsidRPr="009952A2" w:rsidRDefault="00DD5DFF" w:rsidP="00A47F12">
            <w:pPr>
              <w:spacing w:after="60" w:line="240" w:lineRule="auto"/>
              <w:jc w:val="both"/>
              <w:rPr>
                <w:rFonts w:ascii="Myriad Pro" w:hAnsi="Myriad Pro"/>
                <w:i/>
                <w:sz w:val="20"/>
                <w:szCs w:val="20"/>
                <w:lang w:val="en-GB"/>
              </w:rPr>
            </w:pPr>
            <w:r w:rsidRPr="009952A2">
              <w:rPr>
                <w:rFonts w:ascii="Myriad Pro" w:hAnsi="Myriad Pro"/>
                <w:i/>
                <w:sz w:val="20"/>
                <w:szCs w:val="20"/>
                <w:lang w:val="en-GB"/>
              </w:rPr>
              <w:t xml:space="preserve">There were </w:t>
            </w:r>
            <w:r w:rsidR="009952A2" w:rsidRPr="009952A2">
              <w:rPr>
                <w:rFonts w:ascii="Myriad Pro" w:hAnsi="Myriad Pro"/>
                <w:i/>
                <w:sz w:val="20"/>
                <w:szCs w:val="20"/>
                <w:lang w:val="en-GB"/>
              </w:rPr>
              <w:t>fewer</w:t>
            </w:r>
            <w:r w:rsidR="005272FF" w:rsidRPr="009952A2">
              <w:rPr>
                <w:rFonts w:ascii="Myriad Pro" w:hAnsi="Myriad Pro"/>
                <w:i/>
                <w:sz w:val="20"/>
                <w:szCs w:val="20"/>
                <w:lang w:val="en-GB"/>
              </w:rPr>
              <w:t xml:space="preserve"> </w:t>
            </w:r>
            <w:r w:rsidR="009952A2" w:rsidRPr="009952A2">
              <w:rPr>
                <w:rFonts w:ascii="Myriad Pro" w:hAnsi="Myriad Pro"/>
                <w:i/>
                <w:sz w:val="20"/>
                <w:szCs w:val="20"/>
                <w:lang w:val="en-GB"/>
              </w:rPr>
              <w:t xml:space="preserve">sample </w:t>
            </w:r>
            <w:r w:rsidR="005272FF" w:rsidRPr="009952A2">
              <w:rPr>
                <w:rFonts w:ascii="Myriad Pro" w:hAnsi="Myriad Pro"/>
                <w:i/>
                <w:sz w:val="20"/>
                <w:szCs w:val="20"/>
                <w:lang w:val="en-GB"/>
              </w:rPr>
              <w:t>institution</w:t>
            </w:r>
            <w:r w:rsidR="008F0601" w:rsidRPr="009952A2">
              <w:rPr>
                <w:rFonts w:ascii="Myriad Pro" w:hAnsi="Myriad Pro"/>
                <w:i/>
                <w:sz w:val="20"/>
                <w:szCs w:val="20"/>
                <w:lang w:val="en-GB"/>
              </w:rPr>
              <w:t>s</w:t>
            </w:r>
            <w:r w:rsidRPr="009952A2">
              <w:rPr>
                <w:rFonts w:ascii="Myriad Pro" w:hAnsi="Myriad Pro"/>
                <w:i/>
                <w:sz w:val="20"/>
                <w:szCs w:val="20"/>
                <w:lang w:val="en-GB"/>
              </w:rPr>
              <w:t xml:space="preserve"> publishing information on policy papers, studies and </w:t>
            </w:r>
            <w:r w:rsidR="009952A2" w:rsidRPr="009952A2">
              <w:rPr>
                <w:rFonts w:ascii="Myriad Pro" w:hAnsi="Myriad Pro"/>
                <w:i/>
                <w:sz w:val="20"/>
                <w:szCs w:val="20"/>
                <w:lang w:val="en-GB"/>
              </w:rPr>
              <w:t xml:space="preserve">policy </w:t>
            </w:r>
            <w:r w:rsidRPr="009952A2">
              <w:rPr>
                <w:rFonts w:ascii="Myriad Pro" w:hAnsi="Myriad Pro"/>
                <w:i/>
                <w:sz w:val="20"/>
                <w:szCs w:val="20"/>
                <w:lang w:val="en-GB"/>
              </w:rPr>
              <w:t>analyses</w:t>
            </w:r>
            <w:r w:rsidR="003E6F6A" w:rsidRPr="009952A2">
              <w:rPr>
                <w:rFonts w:ascii="Myriad Pro" w:hAnsi="Myriad Pro"/>
                <w:i/>
                <w:sz w:val="20"/>
                <w:szCs w:val="20"/>
                <w:lang w:val="en-GB"/>
              </w:rPr>
              <w:t>, with only BiH Directorate for Economic Planning (DEP) regularly publish</w:t>
            </w:r>
            <w:r w:rsidR="005272FF" w:rsidRPr="009952A2">
              <w:rPr>
                <w:rFonts w:ascii="Myriad Pro" w:hAnsi="Myriad Pro"/>
                <w:i/>
                <w:sz w:val="20"/>
                <w:szCs w:val="20"/>
                <w:lang w:val="en-GB"/>
              </w:rPr>
              <w:t>ing</w:t>
            </w:r>
            <w:r w:rsidR="003E6F6A" w:rsidRPr="009952A2">
              <w:rPr>
                <w:rFonts w:ascii="Myriad Pro" w:hAnsi="Myriad Pro"/>
                <w:i/>
                <w:sz w:val="20"/>
                <w:szCs w:val="20"/>
                <w:lang w:val="en-GB"/>
              </w:rPr>
              <w:t xml:space="preserve"> </w:t>
            </w:r>
            <w:r w:rsidR="00C224A2" w:rsidRPr="009952A2">
              <w:rPr>
                <w:rFonts w:ascii="Myriad Pro" w:hAnsi="Myriad Pro"/>
                <w:i/>
                <w:sz w:val="20"/>
                <w:szCs w:val="20"/>
                <w:lang w:val="en-GB"/>
              </w:rPr>
              <w:t>macroeconomic analysis</w:t>
            </w:r>
            <w:r w:rsidR="003E6F6A" w:rsidRPr="009952A2">
              <w:rPr>
                <w:rFonts w:ascii="Myriad Pro" w:hAnsi="Myriad Pro"/>
                <w:i/>
                <w:sz w:val="20"/>
                <w:szCs w:val="20"/>
                <w:lang w:val="en-GB"/>
              </w:rPr>
              <w:t xml:space="preserve"> projections</w:t>
            </w:r>
            <w:r w:rsidR="008F0601" w:rsidRPr="009952A2">
              <w:rPr>
                <w:rFonts w:ascii="Myriad Pro" w:hAnsi="Myriad Pro"/>
                <w:i/>
                <w:sz w:val="20"/>
                <w:szCs w:val="20"/>
                <w:lang w:val="en-GB"/>
              </w:rPr>
              <w:t xml:space="preserve">, </w:t>
            </w:r>
            <w:r w:rsidR="003E6F6A" w:rsidRPr="009952A2">
              <w:rPr>
                <w:rFonts w:ascii="Myriad Pro" w:hAnsi="Myriad Pro"/>
                <w:i/>
                <w:sz w:val="20"/>
                <w:szCs w:val="20"/>
                <w:lang w:val="en-GB"/>
              </w:rPr>
              <w:t xml:space="preserve">indicators, </w:t>
            </w:r>
            <w:r w:rsidR="00C224A2" w:rsidRPr="009952A2">
              <w:rPr>
                <w:rFonts w:ascii="Myriad Pro" w:hAnsi="Myriad Pro"/>
                <w:i/>
                <w:sz w:val="20"/>
                <w:szCs w:val="20"/>
                <w:lang w:val="en-GB"/>
              </w:rPr>
              <w:t>and trends</w:t>
            </w:r>
            <w:r w:rsidR="00F96625" w:rsidRPr="009952A2">
              <w:rPr>
                <w:rFonts w:ascii="Myriad Pro" w:hAnsi="Myriad Pro"/>
                <w:i/>
                <w:sz w:val="20"/>
                <w:szCs w:val="20"/>
                <w:lang w:val="en-GB"/>
              </w:rPr>
              <w:t>.</w:t>
            </w:r>
            <w:r w:rsidR="009952A2" w:rsidRPr="009952A2">
              <w:rPr>
                <w:rFonts w:ascii="Myriad Pro" w:hAnsi="Myriad Pro"/>
                <w:i/>
                <w:sz w:val="20"/>
                <w:szCs w:val="20"/>
                <w:lang w:val="en-GB"/>
              </w:rPr>
              <w:t xml:space="preserve"> Although every document has </w:t>
            </w:r>
            <w:r w:rsidR="00D14F5C">
              <w:rPr>
                <w:rFonts w:ascii="Myriad Pro" w:hAnsi="Myriad Pro"/>
                <w:i/>
                <w:sz w:val="20"/>
                <w:szCs w:val="20"/>
                <w:lang w:val="en-GB"/>
              </w:rPr>
              <w:t>a</w:t>
            </w:r>
            <w:r w:rsidR="00D14F5C" w:rsidRPr="009952A2">
              <w:rPr>
                <w:rFonts w:ascii="Myriad Pro" w:hAnsi="Myriad Pro"/>
                <w:i/>
                <w:sz w:val="20"/>
                <w:szCs w:val="20"/>
                <w:lang w:val="en-GB"/>
              </w:rPr>
              <w:t xml:space="preserve"> </w:t>
            </w:r>
            <w:r w:rsidR="009952A2" w:rsidRPr="009952A2">
              <w:rPr>
                <w:rFonts w:ascii="Myriad Pro" w:hAnsi="Myriad Pro"/>
                <w:i/>
                <w:sz w:val="20"/>
                <w:szCs w:val="20"/>
                <w:lang w:val="en-GB"/>
              </w:rPr>
              <w:t>summary, and t</w:t>
            </w:r>
            <w:r w:rsidR="002C6853" w:rsidRPr="009952A2">
              <w:rPr>
                <w:rFonts w:ascii="Myriad Pro" w:hAnsi="Myriad Pro"/>
                <w:i/>
                <w:sz w:val="20"/>
                <w:szCs w:val="20"/>
                <w:lang w:val="en-GB"/>
              </w:rPr>
              <w:t>hese publications are easily accessible</w:t>
            </w:r>
            <w:r w:rsidR="009952A2" w:rsidRPr="009952A2">
              <w:rPr>
                <w:rFonts w:ascii="Myriad Pro" w:hAnsi="Myriad Pro"/>
                <w:i/>
                <w:sz w:val="20"/>
                <w:szCs w:val="20"/>
                <w:lang w:val="en-GB"/>
              </w:rPr>
              <w:t>, they are not</w:t>
            </w:r>
            <w:r w:rsidR="002C6853" w:rsidRPr="009952A2">
              <w:rPr>
                <w:rFonts w:ascii="Myriad Pro" w:hAnsi="Myriad Pro"/>
                <w:i/>
                <w:sz w:val="20"/>
                <w:szCs w:val="20"/>
                <w:lang w:val="en-GB"/>
              </w:rPr>
              <w:t xml:space="preserve"> citizen friendly </w:t>
            </w:r>
            <w:r w:rsidR="009952A2" w:rsidRPr="009952A2">
              <w:rPr>
                <w:rFonts w:ascii="Myriad Pro" w:hAnsi="Myriad Pro"/>
                <w:i/>
                <w:sz w:val="20"/>
                <w:szCs w:val="20"/>
                <w:lang w:val="en-GB"/>
              </w:rPr>
              <w:t xml:space="preserve">i.e. </w:t>
            </w:r>
            <w:r w:rsidR="002C6853" w:rsidRPr="009952A2">
              <w:rPr>
                <w:rFonts w:ascii="Myriad Pro" w:hAnsi="Myriad Pro"/>
                <w:i/>
                <w:sz w:val="20"/>
                <w:szCs w:val="20"/>
                <w:lang w:val="en-GB"/>
              </w:rPr>
              <w:t>no introduction part</w:t>
            </w:r>
            <w:r w:rsidR="009952A2" w:rsidRPr="009952A2">
              <w:rPr>
                <w:rFonts w:ascii="Myriad Pro" w:hAnsi="Myriad Pro"/>
                <w:i/>
                <w:sz w:val="20"/>
                <w:szCs w:val="20"/>
                <w:lang w:val="en-GB"/>
              </w:rPr>
              <w:t>s</w:t>
            </w:r>
            <w:r w:rsidR="002C6853" w:rsidRPr="009952A2">
              <w:rPr>
                <w:rFonts w:ascii="Myriad Pro" w:hAnsi="Myriad Pro"/>
                <w:i/>
                <w:sz w:val="20"/>
                <w:szCs w:val="20"/>
                <w:lang w:val="en-GB"/>
              </w:rPr>
              <w:t xml:space="preserve"> at the website</w:t>
            </w:r>
            <w:r w:rsidR="009952A2" w:rsidRPr="009952A2">
              <w:rPr>
                <w:rFonts w:ascii="Myriad Pro" w:hAnsi="Myriad Pro"/>
                <w:i/>
                <w:sz w:val="20"/>
                <w:szCs w:val="20"/>
                <w:lang w:val="en-GB"/>
              </w:rPr>
              <w:t xml:space="preserve"> </w:t>
            </w:r>
            <w:r w:rsidR="00C54B90" w:rsidRPr="009952A2">
              <w:rPr>
                <w:rFonts w:ascii="Myriad Pro" w:hAnsi="Myriad Pro"/>
                <w:i/>
                <w:sz w:val="20"/>
                <w:szCs w:val="20"/>
                <w:lang w:val="en-GB"/>
              </w:rPr>
              <w:t xml:space="preserve">explaining what documents are about – what purpose they serve, or what they </w:t>
            </w:r>
            <w:r w:rsidR="00C224A2" w:rsidRPr="009952A2">
              <w:rPr>
                <w:rFonts w:ascii="Myriad Pro" w:hAnsi="Myriad Pro"/>
                <w:i/>
                <w:sz w:val="20"/>
                <w:szCs w:val="20"/>
                <w:lang w:val="en-GB"/>
              </w:rPr>
              <w:t>regulate</w:t>
            </w:r>
            <w:r w:rsidR="009952A2" w:rsidRPr="009952A2">
              <w:rPr>
                <w:rFonts w:ascii="Myriad Pro" w:hAnsi="Myriad Pro"/>
                <w:i/>
                <w:sz w:val="20"/>
                <w:szCs w:val="20"/>
                <w:lang w:val="en-GB"/>
              </w:rPr>
              <w:t>.</w:t>
            </w:r>
            <w:r w:rsidR="002C6853" w:rsidRPr="009952A2">
              <w:rPr>
                <w:rFonts w:ascii="Myriad Pro" w:hAnsi="Myriad Pro"/>
                <w:i/>
                <w:sz w:val="20"/>
                <w:szCs w:val="20"/>
                <w:lang w:val="en-GB"/>
              </w:rPr>
              <w:t xml:space="preserve"> </w:t>
            </w:r>
            <w:r w:rsidR="00526902" w:rsidRPr="009952A2">
              <w:rPr>
                <w:rFonts w:ascii="Myriad Pro" w:hAnsi="Myriad Pro"/>
                <w:i/>
                <w:sz w:val="20"/>
                <w:szCs w:val="20"/>
                <w:lang w:val="en-GB"/>
              </w:rPr>
              <w:t>I</w:t>
            </w:r>
            <w:r w:rsidR="002C6853" w:rsidRPr="009952A2">
              <w:rPr>
                <w:rFonts w:ascii="Myriad Pro" w:hAnsi="Myriad Pro"/>
                <w:i/>
                <w:sz w:val="20"/>
                <w:szCs w:val="20"/>
                <w:lang w:val="en-GB"/>
              </w:rPr>
              <w:t xml:space="preserve">n comparison with the </w:t>
            </w:r>
            <w:r w:rsidR="00526902" w:rsidRPr="009952A2">
              <w:rPr>
                <w:rFonts w:ascii="Myriad Pro" w:hAnsi="Myriad Pro"/>
                <w:i/>
                <w:sz w:val="20"/>
                <w:szCs w:val="20"/>
                <w:lang w:val="en-GB"/>
              </w:rPr>
              <w:t>PAR Monitor</w:t>
            </w:r>
            <w:r w:rsidR="002C6853" w:rsidRPr="009952A2">
              <w:rPr>
                <w:rFonts w:ascii="Myriad Pro" w:hAnsi="Myriad Pro"/>
                <w:i/>
                <w:sz w:val="20"/>
                <w:szCs w:val="20"/>
                <w:lang w:val="en-GB"/>
              </w:rPr>
              <w:t xml:space="preserve"> 2017/2018,</w:t>
            </w:r>
            <w:r w:rsidR="00A47F12" w:rsidRPr="009952A2">
              <w:rPr>
                <w:rFonts w:ascii="Myriad Pro" w:hAnsi="Myriad Pro"/>
                <w:i/>
                <w:sz w:val="20"/>
                <w:szCs w:val="20"/>
                <w:lang w:val="en-GB"/>
              </w:rPr>
              <w:t xml:space="preserve"> </w:t>
            </w:r>
            <w:r w:rsidR="00526902" w:rsidRPr="009952A2">
              <w:rPr>
                <w:rFonts w:ascii="Myriad Pro" w:hAnsi="Myriad Pro"/>
                <w:i/>
                <w:sz w:val="20"/>
                <w:szCs w:val="20"/>
                <w:lang w:val="en-GB"/>
              </w:rPr>
              <w:t xml:space="preserve">publishing of annual reports in PAR Monitor 2019/2020 </w:t>
            </w:r>
            <w:r w:rsidR="00C224A2" w:rsidRPr="009952A2">
              <w:rPr>
                <w:rFonts w:ascii="Myriad Pro" w:hAnsi="Myriad Pro"/>
                <w:i/>
                <w:sz w:val="20"/>
                <w:szCs w:val="20"/>
                <w:lang w:val="en-GB"/>
              </w:rPr>
              <w:t>is regular</w:t>
            </w:r>
            <w:r w:rsidR="00A47F12" w:rsidRPr="009952A2">
              <w:rPr>
                <w:rFonts w:ascii="Myriad Pro" w:hAnsi="Myriad Pro"/>
                <w:i/>
                <w:sz w:val="20"/>
                <w:szCs w:val="20"/>
                <w:lang w:val="en-GB"/>
              </w:rPr>
              <w:t xml:space="preserve"> and </w:t>
            </w:r>
            <w:r w:rsidR="00526902" w:rsidRPr="009952A2">
              <w:rPr>
                <w:rFonts w:ascii="Myriad Pro" w:hAnsi="Myriad Pro"/>
                <w:i/>
                <w:sz w:val="20"/>
                <w:szCs w:val="20"/>
                <w:lang w:val="en-GB"/>
              </w:rPr>
              <w:t>sample institutions</w:t>
            </w:r>
            <w:r w:rsidR="00A47F12" w:rsidRPr="009952A2">
              <w:rPr>
                <w:rFonts w:ascii="Myriad Pro" w:hAnsi="Myriad Pro"/>
                <w:i/>
                <w:sz w:val="20"/>
                <w:szCs w:val="20"/>
                <w:lang w:val="en-GB"/>
              </w:rPr>
              <w:t xml:space="preserve"> make them easily accessible, although they are not written in a citizen-friendly manner. It is of note that the reports are published on eKonsultacije portal, which is easily accessible to all stakeholders.</w:t>
            </w:r>
          </w:p>
          <w:p w14:paraId="31DD74D1" w14:textId="790705A4" w:rsidR="00B63F9C" w:rsidRPr="009952A2" w:rsidRDefault="00A47F12" w:rsidP="00A47F12">
            <w:pPr>
              <w:spacing w:after="60" w:line="240" w:lineRule="auto"/>
              <w:jc w:val="both"/>
              <w:rPr>
                <w:rFonts w:ascii="Myriad Pro" w:hAnsi="Myriad Pro"/>
                <w:i/>
                <w:sz w:val="20"/>
                <w:szCs w:val="20"/>
                <w:lang w:val="en-GB"/>
              </w:rPr>
            </w:pPr>
            <w:r w:rsidRPr="009952A2">
              <w:rPr>
                <w:rFonts w:ascii="Myriad Pro" w:hAnsi="Myriad Pro"/>
                <w:i/>
                <w:sz w:val="20"/>
                <w:szCs w:val="20"/>
                <w:lang w:val="en-GB"/>
              </w:rPr>
              <w:t xml:space="preserve">During 2019, state level government was in technical mandate, and that can be the reason why there </w:t>
            </w:r>
            <w:r w:rsidR="00C95B49">
              <w:rPr>
                <w:rFonts w:ascii="Myriad Pro" w:hAnsi="Myriad Pro"/>
                <w:i/>
                <w:sz w:val="20"/>
                <w:szCs w:val="20"/>
                <w:lang w:val="en-GB"/>
              </w:rPr>
              <w:t>is</w:t>
            </w:r>
            <w:r w:rsidR="00C95B49" w:rsidRPr="009952A2">
              <w:rPr>
                <w:rFonts w:ascii="Myriad Pro" w:hAnsi="Myriad Pro"/>
                <w:i/>
                <w:sz w:val="20"/>
                <w:szCs w:val="20"/>
                <w:lang w:val="en-GB"/>
              </w:rPr>
              <w:t xml:space="preserve"> </w:t>
            </w:r>
            <w:r w:rsidRPr="009952A2">
              <w:rPr>
                <w:rFonts w:ascii="Myriad Pro" w:hAnsi="Myriad Pro"/>
                <w:i/>
                <w:sz w:val="20"/>
                <w:szCs w:val="20"/>
                <w:lang w:val="en-GB"/>
              </w:rPr>
              <w:t xml:space="preserve">no </w:t>
            </w:r>
            <w:r w:rsidR="002478C6" w:rsidRPr="009952A2">
              <w:rPr>
                <w:rFonts w:ascii="Myriad Pro" w:hAnsi="Myriad Pro"/>
                <w:i/>
                <w:sz w:val="20"/>
                <w:szCs w:val="20"/>
                <w:lang w:val="en-GB"/>
              </w:rPr>
              <w:t>information o</w:t>
            </w:r>
            <w:r w:rsidRPr="009952A2">
              <w:rPr>
                <w:rFonts w:ascii="Myriad Pro" w:hAnsi="Myriad Pro"/>
                <w:i/>
                <w:sz w:val="20"/>
                <w:szCs w:val="20"/>
                <w:lang w:val="en-GB"/>
              </w:rPr>
              <w:t>n the institution’s budget</w:t>
            </w:r>
            <w:r w:rsidR="002478C6" w:rsidRPr="009952A2">
              <w:rPr>
                <w:rFonts w:ascii="Myriad Pro" w:hAnsi="Myriad Pro"/>
                <w:i/>
                <w:sz w:val="20"/>
                <w:szCs w:val="20"/>
                <w:lang w:val="en-GB"/>
              </w:rPr>
              <w:t xml:space="preserve"> (reports or financial plan for 2020). Nonetheless, Interim Financing Decision throughout the previous year, and Interim Financing Decision during the first three months of 2020 are available at the website of Ministry for Finance and Treasury.</w:t>
            </w:r>
            <w:r w:rsidR="00A2548B" w:rsidRPr="009952A2">
              <w:rPr>
                <w:rFonts w:ascii="Myriad Pro" w:hAnsi="Myriad Pro"/>
                <w:i/>
                <w:sz w:val="20"/>
                <w:szCs w:val="20"/>
                <w:lang w:val="en-GB"/>
              </w:rPr>
              <w:t xml:space="preserve"> Financial reports for 2018 are available for almost</w:t>
            </w:r>
            <w:r w:rsidR="00B63F9C" w:rsidRPr="009952A2">
              <w:rPr>
                <w:rFonts w:ascii="Myriad Pro" w:hAnsi="Myriad Pro"/>
                <w:i/>
                <w:sz w:val="20"/>
                <w:szCs w:val="20"/>
                <w:lang w:val="en-GB"/>
              </w:rPr>
              <w:t xml:space="preserve"> all institutions in the sample.</w:t>
            </w:r>
          </w:p>
          <w:p w14:paraId="0897DF25" w14:textId="77777777" w:rsidR="009952A2" w:rsidRPr="009952A2" w:rsidRDefault="00B63F9C" w:rsidP="00C224A2">
            <w:pPr>
              <w:spacing w:after="60" w:line="240" w:lineRule="auto"/>
              <w:jc w:val="both"/>
              <w:rPr>
                <w:rFonts w:ascii="Myriad Pro" w:hAnsi="Myriad Pro"/>
                <w:i/>
                <w:color w:val="000000" w:themeColor="text1"/>
                <w:lang w:val="en-GB"/>
              </w:rPr>
            </w:pPr>
            <w:r w:rsidRPr="009952A2">
              <w:rPr>
                <w:rFonts w:ascii="Myriad Pro" w:hAnsi="Myriad Pro"/>
                <w:i/>
                <w:sz w:val="20"/>
                <w:szCs w:val="20"/>
                <w:lang w:val="en-GB"/>
              </w:rPr>
              <w:t>Contact information is fully published, with different contact channels stated in separate website sections, easily accessible online.</w:t>
            </w:r>
            <w:r w:rsidR="00643225" w:rsidRPr="009952A2">
              <w:rPr>
                <w:rFonts w:ascii="Myriad Pro" w:hAnsi="Myriad Pro"/>
                <w:i/>
                <w:sz w:val="20"/>
                <w:szCs w:val="20"/>
                <w:lang w:val="en-GB"/>
              </w:rPr>
              <w:t xml:space="preserve"> For most of the sampled institutions, organisational charts are generally presentable and in downloadable format and </w:t>
            </w:r>
            <w:r w:rsidR="00643225" w:rsidRPr="009952A2">
              <w:rPr>
                <w:rFonts w:ascii="Myriad Pro" w:hAnsi="Myriad Pro"/>
                <w:i/>
                <w:color w:val="000000" w:themeColor="text1"/>
                <w:sz w:val="20"/>
                <w:szCs w:val="20"/>
                <w:lang w:val="en-GB"/>
              </w:rPr>
              <w:t>in line with acts on internal structure and job positions (only two exceptions in the sample).</w:t>
            </w:r>
          </w:p>
          <w:p w14:paraId="143C2120" w14:textId="1D705A11" w:rsidR="00B63F9C" w:rsidRPr="009952A2" w:rsidRDefault="009952A2" w:rsidP="00C95B49">
            <w:pPr>
              <w:spacing w:after="60" w:line="240" w:lineRule="auto"/>
              <w:jc w:val="both"/>
              <w:rPr>
                <w:rFonts w:ascii="Myriad Pro" w:hAnsi="Myriad Pro"/>
                <w:i/>
                <w:sz w:val="20"/>
                <w:szCs w:val="20"/>
                <w:lang w:val="en-GB"/>
              </w:rPr>
            </w:pPr>
            <w:r w:rsidRPr="00FF22A7">
              <w:rPr>
                <w:rFonts w:ascii="Myriad Pro" w:hAnsi="Myriad Pro"/>
                <w:i/>
                <w:sz w:val="20"/>
                <w:szCs w:val="20"/>
                <w:lang w:val="en-GB"/>
              </w:rPr>
              <w:t>Furthermore</w:t>
            </w:r>
            <w:r w:rsidRPr="009952A2">
              <w:rPr>
                <w:rFonts w:ascii="Myriad Pro" w:hAnsi="Myriad Pro"/>
                <w:i/>
                <w:lang w:val="en-GB"/>
              </w:rPr>
              <w:t>, s</w:t>
            </w:r>
            <w:r w:rsidR="00526902" w:rsidRPr="009952A2">
              <w:rPr>
                <w:rFonts w:ascii="Myriad Pro" w:hAnsi="Myriad Pro"/>
                <w:i/>
                <w:sz w:val="20"/>
                <w:szCs w:val="20"/>
                <w:lang w:val="en-GB"/>
              </w:rPr>
              <w:t xml:space="preserve">ample institutions </w:t>
            </w:r>
            <w:r w:rsidR="00643225" w:rsidRPr="009952A2">
              <w:rPr>
                <w:rFonts w:ascii="Myriad Pro" w:hAnsi="Myriad Pro"/>
                <w:i/>
                <w:sz w:val="20"/>
                <w:szCs w:val="20"/>
                <w:lang w:val="en-GB"/>
              </w:rPr>
              <w:t>communicate thorough</w:t>
            </w:r>
            <w:r w:rsidR="00526902" w:rsidRPr="009952A2">
              <w:rPr>
                <w:rFonts w:ascii="Myriad Pro" w:hAnsi="Myriad Pro"/>
                <w:i/>
                <w:sz w:val="20"/>
                <w:szCs w:val="20"/>
                <w:lang w:val="en-GB"/>
              </w:rPr>
              <w:t>ly</w:t>
            </w:r>
            <w:r w:rsidR="00643225" w:rsidRPr="009952A2">
              <w:rPr>
                <w:rFonts w:ascii="Myriad Pro" w:hAnsi="Myriad Pro"/>
                <w:i/>
                <w:sz w:val="20"/>
                <w:szCs w:val="20"/>
                <w:lang w:val="en-GB"/>
              </w:rPr>
              <w:t xml:space="preserve"> with civil society and external stakeholders via individual public consultation invitations or via eK</w:t>
            </w:r>
            <w:r w:rsidR="00604834" w:rsidRPr="009952A2">
              <w:rPr>
                <w:rFonts w:ascii="Myriad Pro" w:hAnsi="Myriad Pro"/>
                <w:i/>
                <w:sz w:val="20"/>
                <w:szCs w:val="20"/>
                <w:lang w:val="en-GB"/>
              </w:rPr>
              <w:t>onsultacije portal where they demonstrate</w:t>
            </w:r>
            <w:r w:rsidR="00643225" w:rsidRPr="009952A2">
              <w:rPr>
                <w:rFonts w:ascii="Myriad Pro" w:hAnsi="Myriad Pro"/>
                <w:i/>
                <w:sz w:val="20"/>
                <w:szCs w:val="20"/>
                <w:lang w:val="en-GB"/>
              </w:rPr>
              <w:t xml:space="preserve"> citizen-friendly approaches by inviting those interested, or specific stakeholders, to participate. </w:t>
            </w:r>
            <w:r w:rsidR="00C77931" w:rsidRPr="009952A2">
              <w:rPr>
                <w:rFonts w:ascii="Myriad Pro" w:hAnsi="Myriad Pro"/>
                <w:i/>
                <w:sz w:val="20"/>
                <w:szCs w:val="20"/>
                <w:lang w:val="en-GB"/>
              </w:rPr>
              <w:t>I</w:t>
            </w:r>
            <w:r w:rsidR="00604834" w:rsidRPr="009952A2">
              <w:rPr>
                <w:rFonts w:ascii="Myriad Pro" w:hAnsi="Myriad Pro"/>
                <w:i/>
                <w:sz w:val="20"/>
                <w:szCs w:val="20"/>
                <w:lang w:val="en-GB"/>
              </w:rPr>
              <w:t xml:space="preserve">nformation </w:t>
            </w:r>
            <w:r w:rsidR="00C95B49">
              <w:rPr>
                <w:rFonts w:ascii="Myriad Pro" w:hAnsi="Myriad Pro"/>
                <w:i/>
                <w:sz w:val="20"/>
                <w:szCs w:val="20"/>
                <w:lang w:val="en-GB"/>
              </w:rPr>
              <w:t>regarding</w:t>
            </w:r>
            <w:r w:rsidR="00C95B49" w:rsidRPr="009952A2">
              <w:rPr>
                <w:rFonts w:ascii="Myriad Pro" w:hAnsi="Myriad Pro"/>
                <w:i/>
                <w:sz w:val="20"/>
                <w:szCs w:val="20"/>
                <w:lang w:val="en-GB"/>
              </w:rPr>
              <w:t xml:space="preserve"> </w:t>
            </w:r>
            <w:r w:rsidR="00604834" w:rsidRPr="009952A2">
              <w:rPr>
                <w:rFonts w:ascii="Myriad Pro" w:hAnsi="Myriad Pro"/>
                <w:i/>
                <w:sz w:val="20"/>
                <w:szCs w:val="20"/>
                <w:lang w:val="en-GB"/>
              </w:rPr>
              <w:t>the type of document</w:t>
            </w:r>
            <w:r w:rsidR="00C95B49">
              <w:rPr>
                <w:rFonts w:ascii="Myriad Pro" w:hAnsi="Myriad Pro"/>
                <w:i/>
                <w:sz w:val="20"/>
                <w:szCs w:val="20"/>
                <w:lang w:val="en-GB"/>
              </w:rPr>
              <w:t>s</w:t>
            </w:r>
            <w:r w:rsidR="00604834" w:rsidRPr="009952A2">
              <w:rPr>
                <w:rFonts w:ascii="Myriad Pro" w:hAnsi="Myriad Pro"/>
                <w:i/>
                <w:sz w:val="20"/>
                <w:szCs w:val="20"/>
                <w:lang w:val="en-GB"/>
              </w:rPr>
              <w:t>, procedures, type</w:t>
            </w:r>
            <w:r w:rsidR="00C95B49">
              <w:rPr>
                <w:rFonts w:ascii="Myriad Pro" w:hAnsi="Myriad Pro"/>
                <w:i/>
                <w:sz w:val="20"/>
                <w:szCs w:val="20"/>
                <w:lang w:val="en-GB"/>
              </w:rPr>
              <w:t>s</w:t>
            </w:r>
            <w:r w:rsidR="00604834" w:rsidRPr="009952A2">
              <w:rPr>
                <w:rFonts w:ascii="Myriad Pro" w:hAnsi="Myriad Pro"/>
                <w:i/>
                <w:sz w:val="20"/>
                <w:szCs w:val="20"/>
                <w:lang w:val="en-GB"/>
              </w:rPr>
              <w:t xml:space="preserve"> of consultation, location, </w:t>
            </w:r>
            <w:r w:rsidR="00C224A2" w:rsidRPr="009952A2">
              <w:rPr>
                <w:rFonts w:ascii="Myriad Pro" w:hAnsi="Myriad Pro"/>
                <w:i/>
                <w:sz w:val="20"/>
                <w:szCs w:val="20"/>
                <w:lang w:val="en-GB"/>
              </w:rPr>
              <w:t>and timing</w:t>
            </w:r>
            <w:r w:rsidR="00604834" w:rsidRPr="009952A2">
              <w:rPr>
                <w:rFonts w:ascii="Myriad Pro" w:hAnsi="Myriad Pro"/>
                <w:i/>
                <w:sz w:val="20"/>
                <w:szCs w:val="20"/>
                <w:lang w:val="en-GB"/>
              </w:rPr>
              <w:t xml:space="preserve"> of consultations and an online application for interested stakeholders is available. </w:t>
            </w:r>
            <w:r>
              <w:rPr>
                <w:rFonts w:ascii="Myriad Pro" w:hAnsi="Myriad Pro"/>
                <w:i/>
                <w:sz w:val="20"/>
                <w:szCs w:val="20"/>
                <w:lang w:val="en-GB"/>
              </w:rPr>
              <w:t>In addition, d</w:t>
            </w:r>
            <w:r w:rsidR="00604834" w:rsidRPr="009952A2">
              <w:rPr>
                <w:rFonts w:ascii="Myriad Pro" w:hAnsi="Myriad Pro"/>
                <w:i/>
                <w:sz w:val="20"/>
                <w:szCs w:val="20"/>
                <w:lang w:val="en-GB"/>
              </w:rPr>
              <w:t xml:space="preserve">etails about the contact person </w:t>
            </w:r>
            <w:r>
              <w:rPr>
                <w:rFonts w:ascii="Myriad Pro" w:hAnsi="Myriad Pro"/>
                <w:i/>
                <w:sz w:val="20"/>
                <w:szCs w:val="20"/>
                <w:lang w:val="en-GB"/>
              </w:rPr>
              <w:t>are</w:t>
            </w:r>
            <w:r w:rsidR="00604834" w:rsidRPr="009952A2">
              <w:rPr>
                <w:rFonts w:ascii="Myriad Pro" w:hAnsi="Myriad Pro"/>
                <w:i/>
                <w:sz w:val="20"/>
                <w:szCs w:val="20"/>
                <w:lang w:val="en-GB"/>
              </w:rPr>
              <w:t xml:space="preserve"> available and information about the specific document</w:t>
            </w:r>
            <w:r>
              <w:rPr>
                <w:rFonts w:ascii="Myriad Pro" w:hAnsi="Myriad Pro"/>
                <w:i/>
                <w:sz w:val="20"/>
                <w:szCs w:val="20"/>
                <w:lang w:val="en-GB"/>
              </w:rPr>
              <w:t xml:space="preserve"> as well as</w:t>
            </w:r>
            <w:r w:rsidR="00604834" w:rsidRPr="009952A2">
              <w:rPr>
                <w:rFonts w:ascii="Myriad Pro" w:hAnsi="Myriad Pro"/>
                <w:i/>
                <w:sz w:val="20"/>
                <w:szCs w:val="20"/>
                <w:lang w:val="en-GB"/>
              </w:rPr>
              <w:t xml:space="preserve"> general rules for consultations.</w:t>
            </w:r>
            <w:r w:rsidR="00C77931" w:rsidRPr="009952A2">
              <w:rPr>
                <w:rFonts w:ascii="Myriad Pro" w:hAnsi="Myriad Pro"/>
                <w:i/>
                <w:sz w:val="20"/>
                <w:szCs w:val="20"/>
                <w:lang w:val="en-GB"/>
              </w:rPr>
              <w:t xml:space="preserve"> Positive example of separate information booklet for public consultation can be found on the website of BiH Agency for identification </w:t>
            </w:r>
            <w:r>
              <w:rPr>
                <w:rFonts w:ascii="Myriad Pro" w:hAnsi="Myriad Pro"/>
                <w:i/>
                <w:sz w:val="20"/>
                <w:szCs w:val="20"/>
                <w:lang w:val="en-GB"/>
              </w:rPr>
              <w:t>D</w:t>
            </w:r>
            <w:r w:rsidR="00C77931" w:rsidRPr="009952A2">
              <w:rPr>
                <w:rFonts w:ascii="Myriad Pro" w:hAnsi="Myriad Pro"/>
                <w:i/>
                <w:sz w:val="20"/>
                <w:szCs w:val="20"/>
                <w:lang w:val="en-GB"/>
              </w:rPr>
              <w:t xml:space="preserve">ocuments, </w:t>
            </w:r>
            <w:r>
              <w:rPr>
                <w:rFonts w:ascii="Myriad Pro" w:hAnsi="Myriad Pro"/>
                <w:i/>
                <w:sz w:val="20"/>
                <w:szCs w:val="20"/>
                <w:lang w:val="en-GB"/>
              </w:rPr>
              <w:t>R</w:t>
            </w:r>
            <w:r w:rsidR="00C77931" w:rsidRPr="009952A2">
              <w:rPr>
                <w:rFonts w:ascii="Myriad Pro" w:hAnsi="Myriad Pro"/>
                <w:i/>
                <w:sz w:val="20"/>
                <w:szCs w:val="20"/>
                <w:lang w:val="en-GB"/>
              </w:rPr>
              <w:t>egisters</w:t>
            </w:r>
            <w:r>
              <w:rPr>
                <w:rFonts w:ascii="Myriad Pro" w:hAnsi="Myriad Pro"/>
                <w:i/>
                <w:sz w:val="20"/>
                <w:szCs w:val="20"/>
                <w:lang w:val="en-GB"/>
              </w:rPr>
              <w:t>,</w:t>
            </w:r>
            <w:r w:rsidR="00C77931" w:rsidRPr="009952A2">
              <w:rPr>
                <w:rFonts w:ascii="Myriad Pro" w:hAnsi="Myriad Pro"/>
                <w:i/>
                <w:sz w:val="20"/>
                <w:szCs w:val="20"/>
                <w:lang w:val="en-GB"/>
              </w:rPr>
              <w:t xml:space="preserve"> and </w:t>
            </w:r>
            <w:r>
              <w:rPr>
                <w:rFonts w:ascii="Myriad Pro" w:hAnsi="Myriad Pro"/>
                <w:i/>
                <w:sz w:val="20"/>
                <w:szCs w:val="20"/>
                <w:lang w:val="en-GB"/>
              </w:rPr>
              <w:t>D</w:t>
            </w:r>
            <w:r w:rsidR="00C77931" w:rsidRPr="009952A2">
              <w:rPr>
                <w:rFonts w:ascii="Myriad Pro" w:hAnsi="Myriad Pro"/>
                <w:i/>
                <w:sz w:val="20"/>
                <w:szCs w:val="20"/>
                <w:lang w:val="en-GB"/>
              </w:rPr>
              <w:t xml:space="preserve">ata </w:t>
            </w:r>
            <w:r>
              <w:rPr>
                <w:rFonts w:ascii="Myriad Pro" w:hAnsi="Myriad Pro"/>
                <w:i/>
                <w:sz w:val="20"/>
                <w:szCs w:val="20"/>
                <w:lang w:val="en-GB"/>
              </w:rPr>
              <w:t>E</w:t>
            </w:r>
            <w:r w:rsidR="00C77931" w:rsidRPr="009952A2">
              <w:rPr>
                <w:rFonts w:ascii="Myriad Pro" w:hAnsi="Myriad Pro"/>
                <w:i/>
                <w:sz w:val="20"/>
                <w:szCs w:val="20"/>
                <w:lang w:val="en-GB"/>
              </w:rPr>
              <w:t>xchange (IDDEEA).</w:t>
            </w:r>
            <w:r w:rsidR="00ED0A07" w:rsidRPr="009952A2">
              <w:rPr>
                <w:rFonts w:ascii="Myriad Pro" w:hAnsi="Myriad Pro"/>
                <w:i/>
                <w:sz w:val="20"/>
                <w:szCs w:val="20"/>
                <w:lang w:val="en-GB"/>
              </w:rPr>
              <w:t xml:space="preserve"> </w:t>
            </w:r>
            <w:r w:rsidR="00C224A2" w:rsidRPr="009952A2">
              <w:rPr>
                <w:rFonts w:ascii="Myriad Pro" w:hAnsi="Myriad Pro"/>
                <w:i/>
                <w:sz w:val="20"/>
                <w:szCs w:val="20"/>
                <w:lang w:val="en-GB"/>
              </w:rPr>
              <w:t>Finally</w:t>
            </w:r>
            <w:r w:rsidR="00643225" w:rsidRPr="009952A2">
              <w:rPr>
                <w:rFonts w:ascii="Myriad Pro" w:hAnsi="Myriad Pro"/>
                <w:i/>
                <w:sz w:val="20"/>
                <w:szCs w:val="20"/>
                <w:lang w:val="en-GB"/>
              </w:rPr>
              <w:t xml:space="preserve">, </w:t>
            </w:r>
            <w:r w:rsidR="00C77931" w:rsidRPr="009952A2">
              <w:rPr>
                <w:rFonts w:ascii="Myriad Pro" w:hAnsi="Myriad Pro"/>
                <w:i/>
                <w:sz w:val="20"/>
                <w:szCs w:val="20"/>
                <w:lang w:val="en-GB"/>
              </w:rPr>
              <w:t>public authorities do not pursue</w:t>
            </w:r>
            <w:r w:rsidR="00197ED2">
              <w:rPr>
                <w:rFonts w:ascii="Myriad Pro" w:hAnsi="Myriad Pro"/>
                <w:i/>
                <w:sz w:val="20"/>
                <w:szCs w:val="20"/>
                <w:lang w:val="en-GB"/>
              </w:rPr>
              <w:t xml:space="preserve"> an</w:t>
            </w:r>
            <w:r w:rsidR="00C77931" w:rsidRPr="009952A2">
              <w:rPr>
                <w:rFonts w:ascii="Myriad Pro" w:hAnsi="Myriad Pro"/>
                <w:i/>
                <w:sz w:val="20"/>
                <w:szCs w:val="20"/>
                <w:lang w:val="en-GB"/>
              </w:rPr>
              <w:t xml:space="preserve"> open data policy.</w:t>
            </w:r>
            <w:r w:rsidR="00C224A2" w:rsidRPr="009952A2">
              <w:rPr>
                <w:rFonts w:ascii="Myriad Pro" w:hAnsi="Myriad Pro"/>
                <w:i/>
                <w:sz w:val="20"/>
                <w:szCs w:val="20"/>
                <w:lang w:val="en-GB"/>
              </w:rPr>
              <w:t xml:space="preserve"> Bosnia and Herzegovina has launched a National Summary Data Page (NSDP), a data portal that serves as a one-stop vehicle for publishing essential macroeconomic data in both human and machine-readable formats, which </w:t>
            </w:r>
            <w:r>
              <w:rPr>
                <w:rFonts w:ascii="Myriad Pro" w:hAnsi="Myriad Pro"/>
                <w:i/>
                <w:sz w:val="20"/>
                <w:szCs w:val="20"/>
                <w:lang w:val="en-GB"/>
              </w:rPr>
              <w:t>is supposed to</w:t>
            </w:r>
            <w:r w:rsidR="00C224A2" w:rsidRPr="009952A2">
              <w:rPr>
                <w:rFonts w:ascii="Myriad Pro" w:hAnsi="Myriad Pro"/>
                <w:i/>
                <w:sz w:val="20"/>
                <w:szCs w:val="20"/>
                <w:lang w:val="en-GB"/>
              </w:rPr>
              <w:t xml:space="preserve"> </w:t>
            </w:r>
            <w:r>
              <w:rPr>
                <w:rFonts w:ascii="Myriad Pro" w:hAnsi="Myriad Pro"/>
                <w:i/>
                <w:sz w:val="20"/>
                <w:szCs w:val="20"/>
                <w:lang w:val="en-GB"/>
              </w:rPr>
              <w:t xml:space="preserve">lead to a </w:t>
            </w:r>
            <w:r w:rsidR="00C224A2" w:rsidRPr="009952A2">
              <w:rPr>
                <w:rFonts w:ascii="Myriad Pro" w:hAnsi="Myriad Pro"/>
                <w:i/>
                <w:sz w:val="20"/>
                <w:szCs w:val="20"/>
                <w:lang w:val="en-GB"/>
              </w:rPr>
              <w:t>greater data transparency.</w:t>
            </w:r>
          </w:p>
        </w:tc>
      </w:tr>
      <w:tr w:rsidR="00264833" w:rsidRPr="009952A2" w14:paraId="055B910B" w14:textId="77777777" w:rsidTr="00A34D33">
        <w:trPr>
          <w:trHeight w:val="284"/>
        </w:trPr>
        <w:tc>
          <w:tcPr>
            <w:tcW w:w="9288" w:type="dxa"/>
            <w:gridSpan w:val="2"/>
            <w:tcBorders>
              <w:top w:val="double" w:sz="4" w:space="0" w:color="5B9BD5"/>
              <w:bottom w:val="double" w:sz="4" w:space="0" w:color="5B9BD5"/>
            </w:tcBorders>
            <w:shd w:val="clear" w:color="auto" w:fill="FFC000"/>
            <w:vAlign w:val="center"/>
          </w:tcPr>
          <w:p w14:paraId="6FAAC52F" w14:textId="77777777" w:rsidR="00BD0320" w:rsidRPr="009952A2" w:rsidRDefault="00BD0320" w:rsidP="00A34D33">
            <w:pPr>
              <w:spacing w:after="60"/>
              <w:rPr>
                <w:rFonts w:ascii="Myriad Pro" w:hAnsi="Myriad Pro"/>
                <w:i/>
                <w:sz w:val="20"/>
                <w:szCs w:val="20"/>
                <w:lang w:val="en-GB"/>
              </w:rPr>
            </w:pPr>
            <w:r w:rsidRPr="009952A2">
              <w:rPr>
                <w:rFonts w:ascii="Myriad Pro" w:hAnsi="Myriad Pro"/>
                <w:b/>
                <w:i/>
                <w:sz w:val="20"/>
                <w:szCs w:val="20"/>
                <w:lang w:val="en-GB"/>
              </w:rPr>
              <w:t>Specific observations</w:t>
            </w:r>
          </w:p>
        </w:tc>
      </w:tr>
      <w:tr w:rsidR="00BD0320" w:rsidRPr="009952A2" w14:paraId="0BDC7FE5" w14:textId="77777777" w:rsidTr="00264833">
        <w:trPr>
          <w:trHeight w:val="537"/>
        </w:trPr>
        <w:tc>
          <w:tcPr>
            <w:tcW w:w="9288" w:type="dxa"/>
            <w:gridSpan w:val="2"/>
            <w:tcBorders>
              <w:top w:val="double" w:sz="4" w:space="0" w:color="5B9BD5"/>
            </w:tcBorders>
            <w:shd w:val="clear" w:color="auto" w:fill="auto"/>
            <w:vAlign w:val="center"/>
          </w:tcPr>
          <w:p w14:paraId="6B7814C8" w14:textId="04B10D61" w:rsidR="00BD0320" w:rsidRPr="009952A2" w:rsidRDefault="00B23E2A" w:rsidP="00B23E2A">
            <w:pPr>
              <w:pStyle w:val="ListParagraph"/>
              <w:numPr>
                <w:ilvl w:val="0"/>
                <w:numId w:val="7"/>
              </w:numPr>
              <w:spacing w:after="60"/>
              <w:rPr>
                <w:rFonts w:ascii="Myriad Pro" w:hAnsi="Myriad Pro"/>
                <w:i/>
                <w:sz w:val="20"/>
                <w:szCs w:val="20"/>
                <w:lang w:val="en-GB"/>
              </w:rPr>
            </w:pPr>
            <w:r w:rsidRPr="009952A2">
              <w:rPr>
                <w:rFonts w:ascii="Myriad Pro" w:hAnsi="Myriad Pro"/>
                <w:i/>
                <w:sz w:val="20"/>
                <w:szCs w:val="20"/>
                <w:lang w:val="en-GB"/>
              </w:rPr>
              <w:lastRenderedPageBreak/>
              <w:t xml:space="preserve">The website of MFT was hacked in the </w:t>
            </w:r>
            <w:r w:rsidR="00AF115A" w:rsidRPr="009952A2">
              <w:rPr>
                <w:rFonts w:ascii="Myriad Pro" w:hAnsi="Myriad Pro"/>
                <w:i/>
                <w:sz w:val="20"/>
                <w:szCs w:val="20"/>
                <w:lang w:val="en-GB"/>
              </w:rPr>
              <w:t>first week</w:t>
            </w:r>
            <w:r w:rsidR="009952A2" w:rsidRPr="009952A2">
              <w:rPr>
                <w:rFonts w:ascii="Myriad Pro" w:hAnsi="Myriad Pro"/>
                <w:i/>
                <w:sz w:val="20"/>
                <w:szCs w:val="20"/>
                <w:lang w:val="en-GB"/>
              </w:rPr>
              <w:t xml:space="preserve"> of</w:t>
            </w:r>
            <w:r w:rsidRPr="009952A2">
              <w:rPr>
                <w:rFonts w:ascii="Myriad Pro" w:hAnsi="Myriad Pro"/>
                <w:i/>
                <w:sz w:val="20"/>
                <w:szCs w:val="20"/>
                <w:lang w:val="en-GB"/>
              </w:rPr>
              <w:t xml:space="preserve"> monitoring </w:t>
            </w:r>
            <w:r w:rsidR="009952A2" w:rsidRPr="009952A2">
              <w:rPr>
                <w:rFonts w:ascii="Myriad Pro" w:hAnsi="Myriad Pro"/>
                <w:i/>
                <w:sz w:val="20"/>
                <w:szCs w:val="20"/>
                <w:lang w:val="en-GB"/>
              </w:rPr>
              <w:t>so the analysis was done in the period different that for the rest of the sample (</w:t>
            </w:r>
            <w:r w:rsidRPr="009952A2">
              <w:rPr>
                <w:rFonts w:ascii="Myriad Pro" w:hAnsi="Myriad Pro"/>
                <w:i/>
                <w:sz w:val="20"/>
                <w:szCs w:val="20"/>
                <w:lang w:val="en-GB"/>
              </w:rPr>
              <w:t>Friday, 13th of March</w:t>
            </w:r>
            <w:r w:rsidR="009952A2" w:rsidRPr="009952A2">
              <w:rPr>
                <w:rFonts w:ascii="Myriad Pro" w:hAnsi="Myriad Pro"/>
                <w:i/>
                <w:sz w:val="20"/>
                <w:szCs w:val="20"/>
                <w:lang w:val="en-GB"/>
              </w:rPr>
              <w:t>)</w:t>
            </w:r>
            <w:r w:rsidRPr="009952A2">
              <w:rPr>
                <w:rFonts w:ascii="Myriad Pro" w:hAnsi="Myriad Pro"/>
                <w:i/>
                <w:sz w:val="20"/>
                <w:szCs w:val="20"/>
                <w:lang w:val="en-GB"/>
              </w:rPr>
              <w:t xml:space="preserve">. </w:t>
            </w:r>
          </w:p>
          <w:p w14:paraId="1173C9BC" w14:textId="1B94A33D" w:rsidR="00B23E2A" w:rsidRPr="009952A2" w:rsidRDefault="00B23E2A" w:rsidP="00B23E2A">
            <w:pPr>
              <w:pStyle w:val="ListParagraph"/>
              <w:numPr>
                <w:ilvl w:val="0"/>
                <w:numId w:val="7"/>
              </w:numPr>
              <w:spacing w:after="60"/>
              <w:rPr>
                <w:rFonts w:ascii="Myriad Pro" w:hAnsi="Myriad Pro"/>
                <w:i/>
                <w:sz w:val="20"/>
                <w:szCs w:val="20"/>
                <w:lang w:val="en-GB"/>
              </w:rPr>
            </w:pPr>
            <w:r w:rsidRPr="009952A2">
              <w:rPr>
                <w:rFonts w:ascii="Myriad Pro" w:hAnsi="Myriad Pro"/>
                <w:i/>
                <w:sz w:val="20"/>
                <w:szCs w:val="20"/>
                <w:lang w:val="en-GB"/>
              </w:rPr>
              <w:t>Althoug</w:t>
            </w:r>
            <w:r w:rsidR="009952A2" w:rsidRPr="009952A2">
              <w:rPr>
                <w:rFonts w:ascii="Myriad Pro" w:hAnsi="Myriad Pro"/>
                <w:i/>
                <w:sz w:val="20"/>
                <w:szCs w:val="20"/>
                <w:lang w:val="en-GB"/>
              </w:rPr>
              <w:t>h</w:t>
            </w:r>
            <w:r w:rsidRPr="009952A2">
              <w:rPr>
                <w:rFonts w:ascii="Myriad Pro" w:hAnsi="Myriad Pro"/>
                <w:i/>
                <w:sz w:val="20"/>
                <w:szCs w:val="20"/>
                <w:lang w:val="en-GB"/>
              </w:rPr>
              <w:t xml:space="preserve"> there is a reason for not having the financial plan for 2020 or financial report for 2019 (interim financial decision since January 2019 and government in technical mandate during last year)</w:t>
            </w:r>
            <w:r w:rsidR="009952A2" w:rsidRPr="009952A2">
              <w:rPr>
                <w:rFonts w:ascii="Myriad Pro" w:hAnsi="Myriad Pro"/>
                <w:i/>
                <w:sz w:val="20"/>
                <w:szCs w:val="20"/>
                <w:lang w:val="en-GB"/>
              </w:rPr>
              <w:t>,</w:t>
            </w:r>
            <w:r w:rsidRPr="009952A2">
              <w:rPr>
                <w:rFonts w:ascii="Myriad Pro" w:hAnsi="Myriad Pro"/>
                <w:i/>
                <w:sz w:val="20"/>
                <w:szCs w:val="20"/>
                <w:lang w:val="en-GB"/>
              </w:rPr>
              <w:t xml:space="preserve"> and financial reports for 2018 are available for almost all institutions in the sample, based on the methodology total score is </w:t>
            </w:r>
            <w:r w:rsidR="00AF115A" w:rsidRPr="009952A2">
              <w:rPr>
                <w:rFonts w:ascii="Myriad Pro" w:hAnsi="Myriad Pro"/>
                <w:i/>
                <w:sz w:val="20"/>
                <w:szCs w:val="20"/>
                <w:lang w:val="en-GB"/>
              </w:rPr>
              <w:t>0</w:t>
            </w:r>
            <w:r w:rsidR="009952A2" w:rsidRPr="009952A2">
              <w:rPr>
                <w:rFonts w:ascii="Myriad Pro" w:hAnsi="Myriad Pro"/>
                <w:i/>
                <w:sz w:val="20"/>
                <w:szCs w:val="20"/>
                <w:lang w:val="en-GB"/>
              </w:rPr>
              <w:t xml:space="preserve"> for all the elements on budget documents</w:t>
            </w:r>
            <w:r w:rsidRPr="009952A2">
              <w:rPr>
                <w:rFonts w:ascii="Myriad Pro" w:hAnsi="Myriad Pro"/>
                <w:i/>
                <w:sz w:val="20"/>
                <w:szCs w:val="20"/>
                <w:lang w:val="en-GB"/>
              </w:rPr>
              <w:t>.</w:t>
            </w:r>
          </w:p>
          <w:p w14:paraId="65EE526B" w14:textId="5DBFCA3F" w:rsidR="00C54B90" w:rsidRPr="009952A2" w:rsidRDefault="00C54B90" w:rsidP="00B23E2A">
            <w:pPr>
              <w:pStyle w:val="ListParagraph"/>
              <w:numPr>
                <w:ilvl w:val="0"/>
                <w:numId w:val="7"/>
              </w:numPr>
              <w:spacing w:after="60"/>
              <w:rPr>
                <w:rFonts w:ascii="Myriad Pro" w:hAnsi="Myriad Pro"/>
                <w:i/>
                <w:sz w:val="20"/>
                <w:szCs w:val="20"/>
                <w:lang w:val="en-GB"/>
              </w:rPr>
            </w:pPr>
            <w:r w:rsidRPr="009952A2">
              <w:rPr>
                <w:rFonts w:ascii="Myriad Pro" w:hAnsi="Myriad Pro"/>
                <w:i/>
                <w:sz w:val="20"/>
                <w:szCs w:val="20"/>
                <w:lang w:val="en-GB"/>
              </w:rPr>
              <w:t xml:space="preserve">More sample institutions </w:t>
            </w:r>
            <w:r w:rsidR="00C77931" w:rsidRPr="009952A2">
              <w:rPr>
                <w:rFonts w:ascii="Myriad Pro" w:hAnsi="Myriad Pro"/>
                <w:i/>
                <w:sz w:val="20"/>
                <w:szCs w:val="20"/>
                <w:lang w:val="en-GB"/>
              </w:rPr>
              <w:t>in</w:t>
            </w:r>
            <w:r w:rsidRPr="009952A2">
              <w:rPr>
                <w:rFonts w:ascii="Myriad Pro" w:hAnsi="Myriad Pro"/>
                <w:i/>
                <w:sz w:val="20"/>
                <w:szCs w:val="20"/>
                <w:lang w:val="en-GB"/>
              </w:rPr>
              <w:t xml:space="preserve"> PAR Monitor 2019/2020 have published the annual reports than </w:t>
            </w:r>
            <w:r w:rsidR="00C77931" w:rsidRPr="009952A2">
              <w:rPr>
                <w:rFonts w:ascii="Myriad Pro" w:hAnsi="Myriad Pro"/>
                <w:i/>
                <w:sz w:val="20"/>
                <w:szCs w:val="20"/>
                <w:lang w:val="en-GB"/>
              </w:rPr>
              <w:t>in</w:t>
            </w:r>
            <w:r w:rsidRPr="009952A2">
              <w:rPr>
                <w:rFonts w:ascii="Myriad Pro" w:hAnsi="Myriad Pro"/>
                <w:i/>
                <w:sz w:val="20"/>
                <w:szCs w:val="20"/>
                <w:lang w:val="en-GB"/>
              </w:rPr>
              <w:t xml:space="preserve"> PAR Monitor 2017/2018 (only two exceptions)</w:t>
            </w:r>
          </w:p>
          <w:p w14:paraId="2C5D69D8" w14:textId="6B705DB6" w:rsidR="00C224A2" w:rsidRPr="009952A2" w:rsidRDefault="00BB5C35" w:rsidP="00C224A2">
            <w:pPr>
              <w:pStyle w:val="ListParagraph"/>
              <w:numPr>
                <w:ilvl w:val="0"/>
                <w:numId w:val="7"/>
              </w:numPr>
              <w:spacing w:after="120"/>
              <w:ind w:left="714" w:hanging="357"/>
              <w:contextualSpacing w:val="0"/>
              <w:jc w:val="both"/>
              <w:rPr>
                <w:rFonts w:ascii="Myriad Pro" w:hAnsi="Myriad Pro"/>
                <w:i/>
                <w:sz w:val="20"/>
                <w:szCs w:val="20"/>
                <w:lang w:val="en-GB"/>
              </w:rPr>
            </w:pPr>
            <w:r w:rsidRPr="009952A2">
              <w:rPr>
                <w:rFonts w:ascii="Myriad Pro" w:hAnsi="Myriad Pro"/>
                <w:i/>
                <w:sz w:val="20"/>
                <w:szCs w:val="20"/>
                <w:lang w:val="en-GB"/>
              </w:rPr>
              <w:t>The NSDP is hosted by the Central Bank of Bosnia and Herzegovina on its website.</w:t>
            </w:r>
          </w:p>
          <w:p w14:paraId="16209D78" w14:textId="65FB8633" w:rsidR="008A228F" w:rsidRPr="009952A2" w:rsidRDefault="00FD77E5" w:rsidP="00FD77E5">
            <w:pPr>
              <w:spacing w:after="60"/>
              <w:rPr>
                <w:rFonts w:ascii="Myriad Pro" w:hAnsi="Myriad Pro"/>
                <w:i/>
                <w:sz w:val="20"/>
                <w:szCs w:val="20"/>
                <w:lang w:val="en-GB"/>
              </w:rPr>
            </w:pPr>
            <w:r w:rsidRPr="009952A2">
              <w:rPr>
                <w:rFonts w:ascii="Myriad Pro" w:hAnsi="Myriad Pro"/>
                <w:i/>
                <w:sz w:val="20"/>
                <w:szCs w:val="20"/>
                <w:lang w:val="en-GB"/>
              </w:rPr>
              <w:t>PAR Monitor 2019/2020 sample institutions:</w:t>
            </w:r>
          </w:p>
          <w:p w14:paraId="01B76566" w14:textId="07600072" w:rsidR="00FD77E5" w:rsidRPr="009952A2" w:rsidRDefault="00FD77E5" w:rsidP="00FD77E5">
            <w:pPr>
              <w:spacing w:after="60"/>
              <w:rPr>
                <w:rFonts w:ascii="Myriad Pro" w:hAnsi="Myriad Pro"/>
                <w:i/>
                <w:sz w:val="20"/>
                <w:szCs w:val="20"/>
                <w:lang w:val="en-GB"/>
              </w:rPr>
            </w:pPr>
            <w:r w:rsidRPr="009952A2">
              <w:rPr>
                <w:rFonts w:ascii="Myriad Pro" w:hAnsi="Myriad Pro"/>
                <w:i/>
                <w:sz w:val="20"/>
                <w:szCs w:val="20"/>
                <w:lang w:val="en-GB"/>
              </w:rPr>
              <w:t xml:space="preserve">1. BiH Ministry of Civil Affairs   </w:t>
            </w:r>
          </w:p>
          <w:p w14:paraId="73B9A30A" w14:textId="19E0E35A" w:rsidR="00FD77E5" w:rsidRPr="009952A2" w:rsidRDefault="00FD77E5" w:rsidP="00FD77E5">
            <w:pPr>
              <w:spacing w:after="60"/>
              <w:rPr>
                <w:rFonts w:ascii="Myriad Pro" w:hAnsi="Myriad Pro"/>
                <w:i/>
                <w:sz w:val="20"/>
                <w:szCs w:val="20"/>
                <w:lang w:val="en-GB"/>
              </w:rPr>
            </w:pPr>
            <w:r w:rsidRPr="009952A2">
              <w:rPr>
                <w:rFonts w:ascii="Myriad Pro" w:hAnsi="Myriad Pro"/>
                <w:i/>
                <w:sz w:val="20"/>
                <w:szCs w:val="20"/>
                <w:lang w:val="en-GB"/>
              </w:rPr>
              <w:t>2. BiH Ministry of Human Rights and Refugees</w:t>
            </w:r>
          </w:p>
          <w:p w14:paraId="33B09E30" w14:textId="3CFCD4BC" w:rsidR="00FD77E5" w:rsidRPr="009952A2" w:rsidRDefault="00FD77E5" w:rsidP="00FD77E5">
            <w:pPr>
              <w:spacing w:after="60"/>
              <w:rPr>
                <w:rFonts w:ascii="Myriad Pro" w:hAnsi="Myriad Pro"/>
                <w:i/>
                <w:sz w:val="20"/>
                <w:szCs w:val="20"/>
                <w:lang w:val="en-GB"/>
              </w:rPr>
            </w:pPr>
            <w:r w:rsidRPr="009952A2">
              <w:rPr>
                <w:rFonts w:ascii="Myriad Pro" w:hAnsi="Myriad Pro"/>
                <w:i/>
                <w:sz w:val="20"/>
                <w:szCs w:val="20"/>
                <w:lang w:val="en-GB"/>
              </w:rPr>
              <w:t xml:space="preserve">3. BiH Ministry of Security  </w:t>
            </w:r>
          </w:p>
          <w:p w14:paraId="19B1630B" w14:textId="7AD18E97" w:rsidR="00FD77E5" w:rsidRPr="009952A2" w:rsidRDefault="00FD77E5" w:rsidP="00FD77E5">
            <w:pPr>
              <w:spacing w:after="60"/>
              <w:rPr>
                <w:rFonts w:ascii="Myriad Pro" w:hAnsi="Myriad Pro"/>
                <w:i/>
                <w:sz w:val="20"/>
                <w:szCs w:val="20"/>
                <w:lang w:val="en-GB"/>
              </w:rPr>
            </w:pPr>
            <w:r w:rsidRPr="009952A2">
              <w:rPr>
                <w:rFonts w:ascii="Myriad Pro" w:hAnsi="Myriad Pro"/>
                <w:i/>
                <w:sz w:val="20"/>
                <w:szCs w:val="20"/>
                <w:lang w:val="en-GB"/>
              </w:rPr>
              <w:t>4. BiH Ministry of Finance and Treasury</w:t>
            </w:r>
          </w:p>
          <w:p w14:paraId="45315B09" w14:textId="35656E16" w:rsidR="00FD77E5" w:rsidRPr="009952A2" w:rsidRDefault="00FD77E5" w:rsidP="00FD77E5">
            <w:pPr>
              <w:spacing w:after="60"/>
              <w:rPr>
                <w:rFonts w:ascii="Myriad Pro" w:hAnsi="Myriad Pro"/>
                <w:i/>
                <w:sz w:val="20"/>
                <w:szCs w:val="20"/>
                <w:lang w:val="en-GB"/>
              </w:rPr>
            </w:pPr>
            <w:r w:rsidRPr="009952A2">
              <w:rPr>
                <w:rFonts w:ascii="Myriad Pro" w:hAnsi="Myriad Pro"/>
                <w:i/>
                <w:sz w:val="20"/>
                <w:szCs w:val="20"/>
                <w:lang w:val="en-GB"/>
              </w:rPr>
              <w:t xml:space="preserve">5. BiH Directorate for Economic Planning </w:t>
            </w:r>
          </w:p>
          <w:p w14:paraId="117E5166" w14:textId="156ED90A" w:rsidR="00FD77E5" w:rsidRPr="009952A2" w:rsidRDefault="00FD77E5" w:rsidP="00FD77E5">
            <w:pPr>
              <w:spacing w:after="60"/>
              <w:rPr>
                <w:rFonts w:ascii="Myriad Pro" w:hAnsi="Myriad Pro"/>
                <w:i/>
                <w:sz w:val="20"/>
                <w:szCs w:val="20"/>
                <w:lang w:val="en-GB"/>
              </w:rPr>
            </w:pPr>
            <w:r w:rsidRPr="009952A2">
              <w:rPr>
                <w:rFonts w:ascii="Myriad Pro" w:hAnsi="Myriad Pro"/>
                <w:i/>
                <w:sz w:val="20"/>
                <w:szCs w:val="20"/>
                <w:lang w:val="en-GB"/>
              </w:rPr>
              <w:t xml:space="preserve">6.  BiH Service for Foreigners' Affairs </w:t>
            </w:r>
          </w:p>
          <w:p w14:paraId="24D7F4F1" w14:textId="1E7BD123" w:rsidR="00FD77E5" w:rsidRPr="009952A2" w:rsidRDefault="00FD77E5" w:rsidP="00FD77E5">
            <w:pPr>
              <w:spacing w:after="60"/>
              <w:rPr>
                <w:rFonts w:ascii="Myriad Pro" w:hAnsi="Myriad Pro"/>
                <w:i/>
                <w:sz w:val="20"/>
                <w:szCs w:val="20"/>
                <w:lang w:val="en-GB"/>
              </w:rPr>
            </w:pPr>
            <w:r w:rsidRPr="009952A2">
              <w:rPr>
                <w:rFonts w:ascii="Myriad Pro" w:hAnsi="Myriad Pro"/>
                <w:i/>
                <w:sz w:val="20"/>
                <w:szCs w:val="20"/>
                <w:lang w:val="en-GB"/>
              </w:rPr>
              <w:t>7. BiH Agency for identification documents, registers and data exchange</w:t>
            </w:r>
          </w:p>
        </w:tc>
      </w:tr>
    </w:tbl>
    <w:p w14:paraId="25232C77" w14:textId="16B50062" w:rsidR="00BD0320" w:rsidRPr="009952A2" w:rsidRDefault="00BD0320" w:rsidP="00A34D33">
      <w:pPr>
        <w:spacing w:after="60"/>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80"/>
        <w:gridCol w:w="3319"/>
      </w:tblGrid>
      <w:tr w:rsidR="00CA6A5A" w:rsidRPr="009952A2" w14:paraId="52D68DA6" w14:textId="77777777" w:rsidTr="00EF3256">
        <w:tc>
          <w:tcPr>
            <w:tcW w:w="2263" w:type="dxa"/>
            <w:tcBorders>
              <w:top w:val="single" w:sz="4" w:space="0" w:color="000000"/>
              <w:bottom w:val="double" w:sz="4" w:space="0" w:color="5B9BD5"/>
              <w:right w:val="single" w:sz="4" w:space="0" w:color="auto"/>
            </w:tcBorders>
            <w:shd w:val="clear" w:color="auto" w:fill="FFC000" w:themeFill="accent4"/>
            <w:vAlign w:val="center"/>
          </w:tcPr>
          <w:p w14:paraId="33DACD85" w14:textId="77777777" w:rsidR="00CA6A5A" w:rsidRPr="009952A2" w:rsidRDefault="00CA6A5A" w:rsidP="00EF3256">
            <w:pPr>
              <w:spacing w:after="60"/>
              <w:jc w:val="center"/>
              <w:rPr>
                <w:rFonts w:ascii="Myriad Pro" w:hAnsi="Myriad Pro"/>
                <w:b/>
                <w:bCs/>
                <w:i/>
                <w:sz w:val="20"/>
                <w:szCs w:val="20"/>
                <w:lang w:val="en-GB"/>
              </w:rPr>
            </w:pPr>
            <w:r w:rsidRPr="009952A2">
              <w:rPr>
                <w:rFonts w:ascii="Myriad Pro" w:hAnsi="Myriad Pro"/>
                <w:b/>
                <w:bCs/>
                <w:i/>
                <w:sz w:val="20"/>
                <w:szCs w:val="20"/>
                <w:lang w:val="en-GB"/>
              </w:rPr>
              <w:t>PAR Monitor</w:t>
            </w:r>
          </w:p>
        </w:tc>
        <w:tc>
          <w:tcPr>
            <w:tcW w:w="3480" w:type="dxa"/>
            <w:tcBorders>
              <w:top w:val="single" w:sz="4" w:space="0" w:color="000000"/>
              <w:bottom w:val="double" w:sz="4" w:space="0" w:color="5B9BD5"/>
              <w:right w:val="single" w:sz="4" w:space="0" w:color="auto"/>
            </w:tcBorders>
            <w:shd w:val="clear" w:color="auto" w:fill="FFC000" w:themeFill="accent4"/>
            <w:vAlign w:val="center"/>
          </w:tcPr>
          <w:p w14:paraId="6C0B3F94" w14:textId="77777777" w:rsidR="00CA6A5A" w:rsidRPr="009952A2" w:rsidRDefault="00CA6A5A" w:rsidP="00EF3256">
            <w:pPr>
              <w:spacing w:after="60"/>
              <w:jc w:val="center"/>
              <w:rPr>
                <w:rFonts w:ascii="Myriad Pro" w:hAnsi="Myriad Pro"/>
                <w:b/>
                <w:bCs/>
                <w:i/>
                <w:sz w:val="20"/>
                <w:szCs w:val="20"/>
                <w:lang w:val="en-GB"/>
              </w:rPr>
            </w:pPr>
            <w:r w:rsidRPr="009952A2">
              <w:rPr>
                <w:rFonts w:ascii="Myriad Pro" w:hAnsi="Myriad Pro"/>
                <w:b/>
                <w:bCs/>
                <w:i/>
                <w:sz w:val="20"/>
                <w:szCs w:val="20"/>
                <w:lang w:val="en-GB"/>
              </w:rPr>
              <w:t>2019/2020</w:t>
            </w:r>
          </w:p>
        </w:tc>
        <w:tc>
          <w:tcPr>
            <w:tcW w:w="3319" w:type="dxa"/>
            <w:tcBorders>
              <w:top w:val="single" w:sz="4" w:space="0" w:color="000000"/>
              <w:bottom w:val="double" w:sz="4" w:space="0" w:color="5B9BD5"/>
              <w:right w:val="single" w:sz="4" w:space="0" w:color="auto"/>
            </w:tcBorders>
            <w:shd w:val="clear" w:color="auto" w:fill="FFC000" w:themeFill="accent4"/>
            <w:vAlign w:val="center"/>
          </w:tcPr>
          <w:p w14:paraId="06930FEC" w14:textId="77777777" w:rsidR="00CA6A5A" w:rsidRPr="009952A2" w:rsidRDefault="00CA6A5A" w:rsidP="00EF3256">
            <w:pPr>
              <w:spacing w:after="60"/>
              <w:jc w:val="center"/>
              <w:rPr>
                <w:rFonts w:ascii="Myriad Pro" w:hAnsi="Myriad Pro"/>
                <w:b/>
                <w:bCs/>
                <w:i/>
                <w:sz w:val="20"/>
                <w:szCs w:val="20"/>
                <w:lang w:val="en-GB"/>
              </w:rPr>
            </w:pPr>
            <w:r w:rsidRPr="009952A2">
              <w:rPr>
                <w:rFonts w:ascii="Myriad Pro" w:hAnsi="Myriad Pro"/>
                <w:b/>
                <w:bCs/>
                <w:i/>
                <w:sz w:val="20"/>
                <w:szCs w:val="20"/>
                <w:lang w:val="en-GB"/>
              </w:rPr>
              <w:t>2017/2018</w:t>
            </w:r>
          </w:p>
        </w:tc>
      </w:tr>
      <w:tr w:rsidR="00CA6A5A" w:rsidRPr="009952A2" w14:paraId="0591F948" w14:textId="77777777" w:rsidTr="00EF3256">
        <w:tc>
          <w:tcPr>
            <w:tcW w:w="2263" w:type="dxa"/>
            <w:tcBorders>
              <w:top w:val="single" w:sz="4" w:space="0" w:color="000000"/>
              <w:bottom w:val="double" w:sz="4" w:space="0" w:color="5B9BD5"/>
              <w:right w:val="double" w:sz="4" w:space="0" w:color="5B9BD5"/>
            </w:tcBorders>
            <w:shd w:val="clear" w:color="auto" w:fill="28A8E0"/>
            <w:vAlign w:val="center"/>
          </w:tcPr>
          <w:p w14:paraId="0C050CFF" w14:textId="77777777" w:rsidR="00CA6A5A" w:rsidRPr="009952A2" w:rsidRDefault="00CA6A5A" w:rsidP="00EF3256">
            <w:pPr>
              <w:spacing w:after="60"/>
              <w:rPr>
                <w:rFonts w:ascii="Myriad Pro" w:hAnsi="Myriad Pro"/>
                <w:b/>
                <w:sz w:val="20"/>
                <w:szCs w:val="20"/>
                <w:lang w:val="en-GB"/>
              </w:rPr>
            </w:pPr>
            <w:r w:rsidRPr="009952A2">
              <w:rPr>
                <w:rFonts w:ascii="Myriad Pro" w:hAnsi="Myriad Pro"/>
                <w:b/>
                <w:sz w:val="20"/>
                <w:szCs w:val="20"/>
                <w:lang w:val="en-GB"/>
              </w:rPr>
              <w:t>Indicator score</w:t>
            </w:r>
          </w:p>
        </w:tc>
        <w:tc>
          <w:tcPr>
            <w:tcW w:w="3480" w:type="dxa"/>
            <w:tcBorders>
              <w:top w:val="single" w:sz="4" w:space="0" w:color="000000"/>
              <w:left w:val="double" w:sz="4" w:space="0" w:color="5B9BD5"/>
              <w:right w:val="single" w:sz="4" w:space="0" w:color="auto"/>
            </w:tcBorders>
            <w:shd w:val="clear" w:color="auto" w:fill="auto"/>
            <w:vAlign w:val="center"/>
          </w:tcPr>
          <w:p w14:paraId="38D0577F" w14:textId="7A3258EF" w:rsidR="00CA6A5A" w:rsidRPr="009952A2" w:rsidRDefault="00CA6A5A" w:rsidP="00EF3256">
            <w:pPr>
              <w:spacing w:after="60"/>
              <w:rPr>
                <w:rFonts w:ascii="Myriad Pro" w:hAnsi="Myriad Pro"/>
                <w:i/>
                <w:sz w:val="20"/>
                <w:szCs w:val="20"/>
                <w:lang w:val="en-GB"/>
              </w:rPr>
            </w:pPr>
            <w:r w:rsidRPr="009952A2">
              <w:rPr>
                <w:rFonts w:ascii="Myriad Pro" w:hAnsi="Myriad Pro"/>
                <w:i/>
                <w:sz w:val="20"/>
                <w:szCs w:val="20"/>
                <w:lang w:val="en-GB"/>
              </w:rPr>
              <w:t>22 (out of 56 points)</w:t>
            </w:r>
          </w:p>
        </w:tc>
        <w:tc>
          <w:tcPr>
            <w:tcW w:w="3319" w:type="dxa"/>
            <w:tcBorders>
              <w:top w:val="single" w:sz="4" w:space="0" w:color="000000"/>
              <w:left w:val="double" w:sz="4" w:space="0" w:color="5B9BD5"/>
              <w:right w:val="single" w:sz="4" w:space="0" w:color="auto"/>
            </w:tcBorders>
            <w:shd w:val="clear" w:color="auto" w:fill="auto"/>
            <w:vAlign w:val="center"/>
          </w:tcPr>
          <w:p w14:paraId="2BB97A34" w14:textId="1BC540FF" w:rsidR="00CA6A5A" w:rsidRPr="009952A2" w:rsidRDefault="00CA6A5A" w:rsidP="00EF3256">
            <w:pPr>
              <w:spacing w:after="60"/>
              <w:rPr>
                <w:rFonts w:ascii="Myriad Pro" w:hAnsi="Myriad Pro"/>
                <w:i/>
                <w:sz w:val="20"/>
                <w:szCs w:val="20"/>
                <w:lang w:val="en-GB"/>
              </w:rPr>
            </w:pPr>
            <w:r w:rsidRPr="009952A2">
              <w:rPr>
                <w:rFonts w:ascii="Myriad Pro" w:hAnsi="Myriad Pro"/>
                <w:i/>
                <w:sz w:val="20"/>
                <w:szCs w:val="20"/>
                <w:lang w:val="en-GB"/>
              </w:rPr>
              <w:t>23 (out of 56 points)</w:t>
            </w:r>
          </w:p>
        </w:tc>
      </w:tr>
      <w:tr w:rsidR="00CA6A5A" w:rsidRPr="009952A2" w14:paraId="050094EA" w14:textId="77777777" w:rsidTr="00EF3256">
        <w:tc>
          <w:tcPr>
            <w:tcW w:w="2263" w:type="dxa"/>
            <w:tcBorders>
              <w:top w:val="double" w:sz="4" w:space="0" w:color="5B9BD5"/>
              <w:bottom w:val="double" w:sz="4" w:space="0" w:color="5B9BD5"/>
              <w:right w:val="double" w:sz="4" w:space="0" w:color="5B9BD5"/>
            </w:tcBorders>
            <w:shd w:val="clear" w:color="auto" w:fill="28A8E0"/>
            <w:vAlign w:val="center"/>
          </w:tcPr>
          <w:p w14:paraId="4C14F135" w14:textId="77777777" w:rsidR="00CA6A5A" w:rsidRPr="009952A2" w:rsidRDefault="00CA6A5A" w:rsidP="00EF3256">
            <w:pPr>
              <w:spacing w:after="60"/>
              <w:rPr>
                <w:rFonts w:ascii="Myriad Pro" w:hAnsi="Myriad Pro"/>
                <w:b/>
                <w:sz w:val="20"/>
                <w:szCs w:val="20"/>
                <w:lang w:val="en-GB"/>
              </w:rPr>
            </w:pPr>
            <w:r w:rsidRPr="009952A2">
              <w:rPr>
                <w:rFonts w:ascii="Myriad Pro" w:hAnsi="Myriad Pro"/>
                <w:b/>
                <w:sz w:val="20"/>
                <w:szCs w:val="20"/>
                <w:lang w:val="en-GB"/>
              </w:rPr>
              <w:t xml:space="preserve">Final indicator value </w:t>
            </w:r>
          </w:p>
        </w:tc>
        <w:tc>
          <w:tcPr>
            <w:tcW w:w="3480" w:type="dxa"/>
            <w:tcBorders>
              <w:left w:val="double" w:sz="4" w:space="0" w:color="5B9BD5"/>
              <w:right w:val="single" w:sz="4" w:space="0" w:color="auto"/>
            </w:tcBorders>
            <w:shd w:val="clear" w:color="auto" w:fill="auto"/>
            <w:vAlign w:val="center"/>
          </w:tcPr>
          <w:p w14:paraId="5A7664FB" w14:textId="77777777" w:rsidR="00CA6A5A" w:rsidRPr="009952A2" w:rsidRDefault="00CA6A5A" w:rsidP="00EF3256">
            <w:pPr>
              <w:spacing w:after="60"/>
              <w:rPr>
                <w:rFonts w:ascii="Myriad Pro" w:hAnsi="Myriad Pro"/>
                <w:i/>
                <w:sz w:val="20"/>
                <w:szCs w:val="20"/>
                <w:lang w:val="en-GB"/>
              </w:rPr>
            </w:pPr>
            <w:r w:rsidRPr="009952A2">
              <w:rPr>
                <w:rFonts w:ascii="Myriad Pro" w:hAnsi="Myriad Pro"/>
                <w:i/>
                <w:sz w:val="20"/>
                <w:szCs w:val="20"/>
                <w:lang w:val="en-GB"/>
              </w:rPr>
              <w:t>2 (scale 0 – 5)</w:t>
            </w:r>
            <w:r w:rsidRPr="009952A2">
              <w:rPr>
                <w:rStyle w:val="FootnoteReference"/>
                <w:rFonts w:ascii="Myriad Pro" w:hAnsi="Myriad Pro"/>
                <w:i/>
                <w:sz w:val="20"/>
                <w:szCs w:val="20"/>
                <w:lang w:val="en-GB"/>
              </w:rPr>
              <w:t xml:space="preserve"> </w:t>
            </w:r>
            <w:r w:rsidRPr="009952A2">
              <w:rPr>
                <w:rStyle w:val="FootnoteReference"/>
                <w:rFonts w:ascii="Myriad Pro" w:hAnsi="Myriad Pro"/>
                <w:i/>
                <w:sz w:val="20"/>
                <w:szCs w:val="20"/>
                <w:lang w:val="en-GB"/>
              </w:rPr>
              <w:footnoteReference w:id="1"/>
            </w:r>
          </w:p>
        </w:tc>
        <w:tc>
          <w:tcPr>
            <w:tcW w:w="3319" w:type="dxa"/>
            <w:tcBorders>
              <w:left w:val="double" w:sz="4" w:space="0" w:color="5B9BD5"/>
              <w:right w:val="single" w:sz="4" w:space="0" w:color="auto"/>
            </w:tcBorders>
            <w:shd w:val="clear" w:color="auto" w:fill="auto"/>
            <w:vAlign w:val="center"/>
          </w:tcPr>
          <w:p w14:paraId="0B0CCC26" w14:textId="67B24833" w:rsidR="00CA6A5A" w:rsidRPr="009952A2" w:rsidRDefault="00CA6A5A" w:rsidP="00EF3256">
            <w:pPr>
              <w:spacing w:after="60"/>
              <w:rPr>
                <w:rFonts w:ascii="Myriad Pro" w:hAnsi="Myriad Pro"/>
                <w:i/>
                <w:sz w:val="20"/>
                <w:szCs w:val="20"/>
                <w:lang w:val="en-GB"/>
              </w:rPr>
            </w:pPr>
            <w:r w:rsidRPr="009952A2">
              <w:rPr>
                <w:rFonts w:ascii="Myriad Pro" w:hAnsi="Myriad Pro"/>
                <w:i/>
                <w:sz w:val="20"/>
                <w:szCs w:val="20"/>
                <w:lang w:val="en-GB"/>
              </w:rPr>
              <w:t>2 (scale 0 – 5)</w:t>
            </w:r>
            <w:r w:rsidRPr="009952A2">
              <w:rPr>
                <w:rStyle w:val="FootnoteReference"/>
                <w:rFonts w:ascii="Myriad Pro" w:hAnsi="Myriad Pro"/>
                <w:i/>
                <w:sz w:val="20"/>
                <w:szCs w:val="20"/>
                <w:lang w:val="en-GB"/>
              </w:rPr>
              <w:t xml:space="preserve"> </w:t>
            </w:r>
          </w:p>
        </w:tc>
      </w:tr>
      <w:tr w:rsidR="00CA6A5A" w:rsidRPr="009952A2" w14:paraId="3F5E5429" w14:textId="77777777" w:rsidTr="00EF3256">
        <w:tc>
          <w:tcPr>
            <w:tcW w:w="2263" w:type="dxa"/>
            <w:tcBorders>
              <w:top w:val="double" w:sz="4" w:space="0" w:color="5B9BD5"/>
              <w:bottom w:val="double" w:sz="4" w:space="0" w:color="5B9BD5"/>
              <w:right w:val="double" w:sz="4" w:space="0" w:color="5B9BD5"/>
            </w:tcBorders>
            <w:shd w:val="clear" w:color="auto" w:fill="28A8E0"/>
            <w:vAlign w:val="center"/>
          </w:tcPr>
          <w:p w14:paraId="025D96F3" w14:textId="77777777" w:rsidR="00CA6A5A" w:rsidRPr="009952A2" w:rsidRDefault="00CA6A5A" w:rsidP="00EF3256">
            <w:pPr>
              <w:spacing w:after="60"/>
              <w:rPr>
                <w:rFonts w:ascii="Myriad Pro" w:hAnsi="Myriad Pro"/>
                <w:b/>
                <w:sz w:val="20"/>
                <w:szCs w:val="20"/>
                <w:lang w:val="en-GB"/>
              </w:rPr>
            </w:pPr>
            <w:r w:rsidRPr="009952A2">
              <w:rPr>
                <w:rFonts w:ascii="Myriad Pro" w:hAnsi="Myriad Pro"/>
                <w:b/>
                <w:sz w:val="20"/>
                <w:szCs w:val="20"/>
                <w:lang w:val="en-GB"/>
              </w:rPr>
              <w:t>Measurement period</w:t>
            </w:r>
          </w:p>
        </w:tc>
        <w:tc>
          <w:tcPr>
            <w:tcW w:w="3480" w:type="dxa"/>
            <w:tcBorders>
              <w:left w:val="double" w:sz="4" w:space="0" w:color="5B9BD5"/>
              <w:right w:val="single" w:sz="4" w:space="0" w:color="auto"/>
            </w:tcBorders>
            <w:shd w:val="clear" w:color="auto" w:fill="auto"/>
            <w:vAlign w:val="center"/>
          </w:tcPr>
          <w:p w14:paraId="5B7495C2" w14:textId="0DAD9C01" w:rsidR="00CA6A5A" w:rsidRPr="009952A2" w:rsidRDefault="00CA6A5A" w:rsidP="00EF3256">
            <w:pPr>
              <w:spacing w:after="60"/>
              <w:rPr>
                <w:rFonts w:ascii="Myriad Pro" w:hAnsi="Myriad Pro"/>
                <w:i/>
                <w:sz w:val="20"/>
                <w:szCs w:val="20"/>
                <w:lang w:val="en-GB"/>
              </w:rPr>
            </w:pPr>
            <w:r w:rsidRPr="009952A2">
              <w:rPr>
                <w:rFonts w:ascii="Myriad Pro" w:hAnsi="Myriad Pro"/>
                <w:i/>
                <w:sz w:val="20"/>
                <w:szCs w:val="20"/>
                <w:lang w:val="en-GB"/>
              </w:rPr>
              <w:t>26 February - 04 March (MFT - Friday, 13th of March)</w:t>
            </w:r>
          </w:p>
        </w:tc>
        <w:tc>
          <w:tcPr>
            <w:tcW w:w="3319" w:type="dxa"/>
            <w:tcBorders>
              <w:left w:val="double" w:sz="4" w:space="0" w:color="5B9BD5"/>
              <w:right w:val="single" w:sz="4" w:space="0" w:color="auto"/>
            </w:tcBorders>
            <w:shd w:val="clear" w:color="auto" w:fill="auto"/>
            <w:vAlign w:val="center"/>
          </w:tcPr>
          <w:p w14:paraId="22A21723" w14:textId="06CFC7D0" w:rsidR="00CA6A5A" w:rsidRPr="009952A2" w:rsidRDefault="00CA6A5A" w:rsidP="00EF3256">
            <w:pPr>
              <w:spacing w:after="60"/>
              <w:rPr>
                <w:rFonts w:ascii="Myriad Pro" w:hAnsi="Myriad Pro"/>
                <w:i/>
                <w:sz w:val="20"/>
                <w:szCs w:val="20"/>
                <w:lang w:val="en-GB"/>
              </w:rPr>
            </w:pPr>
            <w:r w:rsidRPr="009952A2">
              <w:rPr>
                <w:rFonts w:ascii="Myriad Pro" w:hAnsi="Myriad Pro"/>
                <w:i/>
                <w:sz w:val="20"/>
                <w:szCs w:val="20"/>
                <w:lang w:val="en-GB"/>
              </w:rPr>
              <w:t>September 25th – 29th, 2017 (except for FOI requests, sent on October 16th, 2017)</w:t>
            </w:r>
          </w:p>
        </w:tc>
      </w:tr>
      <w:tr w:rsidR="00CA6A5A" w:rsidRPr="009952A2" w14:paraId="5D6F286A" w14:textId="77777777" w:rsidTr="00EF3256">
        <w:tc>
          <w:tcPr>
            <w:tcW w:w="2263" w:type="dxa"/>
            <w:tcBorders>
              <w:top w:val="double" w:sz="4" w:space="0" w:color="5B9BD5"/>
              <w:bottom w:val="single" w:sz="4" w:space="0" w:color="000000"/>
              <w:right w:val="double" w:sz="4" w:space="0" w:color="5B9BD5"/>
            </w:tcBorders>
            <w:shd w:val="clear" w:color="auto" w:fill="FFC000" w:themeFill="accent4"/>
            <w:vAlign w:val="center"/>
          </w:tcPr>
          <w:p w14:paraId="20CF7673" w14:textId="77777777" w:rsidR="00CA6A5A" w:rsidRPr="009952A2" w:rsidRDefault="00CA6A5A" w:rsidP="00EF3256">
            <w:pPr>
              <w:spacing w:after="60"/>
              <w:rPr>
                <w:rFonts w:ascii="Myriad Pro" w:hAnsi="Myriad Pro"/>
                <w:b/>
                <w:sz w:val="20"/>
                <w:szCs w:val="20"/>
                <w:lang w:val="en-GB"/>
              </w:rPr>
            </w:pPr>
            <w:r w:rsidRPr="009952A2">
              <w:rPr>
                <w:rFonts w:ascii="Myriad Pro" w:hAnsi="Myriad Pro"/>
                <w:b/>
                <w:sz w:val="20"/>
                <w:szCs w:val="20"/>
                <w:lang w:val="en-GB"/>
              </w:rPr>
              <w:t>Comment</w:t>
            </w:r>
          </w:p>
        </w:tc>
        <w:tc>
          <w:tcPr>
            <w:tcW w:w="6799" w:type="dxa"/>
            <w:gridSpan w:val="2"/>
            <w:tcBorders>
              <w:left w:val="double" w:sz="4" w:space="0" w:color="5B9BD5"/>
              <w:bottom w:val="single" w:sz="4" w:space="0" w:color="000000"/>
              <w:right w:val="single" w:sz="4" w:space="0" w:color="auto"/>
            </w:tcBorders>
            <w:shd w:val="clear" w:color="auto" w:fill="auto"/>
            <w:vAlign w:val="center"/>
          </w:tcPr>
          <w:p w14:paraId="51FFCD2D" w14:textId="3DCA30AA" w:rsidR="00CA6A5A" w:rsidRPr="009952A2" w:rsidRDefault="00C92411" w:rsidP="00C224A2">
            <w:pPr>
              <w:spacing w:after="60"/>
              <w:jc w:val="both"/>
              <w:rPr>
                <w:rFonts w:ascii="Myriad Pro" w:hAnsi="Myriad Pro"/>
                <w:i/>
                <w:sz w:val="20"/>
                <w:szCs w:val="20"/>
                <w:lang w:val="en-GB"/>
              </w:rPr>
            </w:pPr>
            <w:r w:rsidRPr="009952A2">
              <w:rPr>
                <w:rFonts w:ascii="Myriad Pro" w:hAnsi="Myriad Pro"/>
                <w:i/>
                <w:sz w:val="20"/>
                <w:szCs w:val="20"/>
                <w:lang w:val="en-GB"/>
              </w:rPr>
              <w:t>S</w:t>
            </w:r>
            <w:r w:rsidR="001B5DA3" w:rsidRPr="009952A2">
              <w:rPr>
                <w:rFonts w:ascii="Myriad Pro" w:hAnsi="Myriad Pro"/>
                <w:i/>
                <w:sz w:val="20"/>
                <w:szCs w:val="20"/>
                <w:lang w:val="en-GB"/>
              </w:rPr>
              <w:t xml:space="preserve">ampled institutions for this reporting period have more user-oriented and coherent webpages. However, the </w:t>
            </w:r>
            <w:r w:rsidR="004B609C" w:rsidRPr="009952A2">
              <w:rPr>
                <w:rFonts w:ascii="Myriad Pro" w:hAnsi="Myriad Pro"/>
                <w:i/>
                <w:sz w:val="20"/>
                <w:szCs w:val="20"/>
                <w:lang w:val="en-GB"/>
              </w:rPr>
              <w:t xml:space="preserve">almost </w:t>
            </w:r>
            <w:r w:rsidR="001B5DA3" w:rsidRPr="009952A2">
              <w:rPr>
                <w:rFonts w:ascii="Myriad Pro" w:hAnsi="Myriad Pro"/>
                <w:i/>
                <w:sz w:val="20"/>
                <w:szCs w:val="20"/>
                <w:lang w:val="en-GB"/>
              </w:rPr>
              <w:t xml:space="preserve">same score can be explained with </w:t>
            </w:r>
            <w:r w:rsidR="004B609C" w:rsidRPr="009952A2">
              <w:rPr>
                <w:rFonts w:ascii="Myriad Pro" w:hAnsi="Myriad Pro"/>
                <w:i/>
                <w:sz w:val="20"/>
                <w:szCs w:val="20"/>
                <w:lang w:val="en-GB"/>
              </w:rPr>
              <w:t xml:space="preserve">the </w:t>
            </w:r>
            <w:r w:rsidR="001B5DA3" w:rsidRPr="009952A2">
              <w:rPr>
                <w:rFonts w:ascii="Myriad Pro" w:hAnsi="Myriad Pro"/>
                <w:i/>
                <w:sz w:val="20"/>
                <w:szCs w:val="20"/>
                <w:lang w:val="en-GB"/>
              </w:rPr>
              <w:t>state level government</w:t>
            </w:r>
            <w:r w:rsidR="004B609C" w:rsidRPr="009952A2">
              <w:rPr>
                <w:rFonts w:ascii="Myriad Pro" w:hAnsi="Myriad Pro"/>
                <w:i/>
                <w:sz w:val="20"/>
                <w:szCs w:val="20"/>
                <w:lang w:val="en-GB"/>
              </w:rPr>
              <w:t xml:space="preserve"> being</w:t>
            </w:r>
            <w:r w:rsidR="001B5DA3" w:rsidRPr="009952A2">
              <w:rPr>
                <w:rFonts w:ascii="Myriad Pro" w:hAnsi="Myriad Pro"/>
                <w:i/>
                <w:sz w:val="20"/>
                <w:szCs w:val="20"/>
                <w:lang w:val="en-GB"/>
              </w:rPr>
              <w:t xml:space="preserve"> in technical mandate during the 2019</w:t>
            </w:r>
            <w:r w:rsidR="00C224A2" w:rsidRPr="009952A2">
              <w:rPr>
                <w:rFonts w:ascii="Myriad Pro" w:hAnsi="Myriad Pro"/>
                <w:i/>
                <w:sz w:val="20"/>
                <w:szCs w:val="20"/>
                <w:lang w:val="en-GB"/>
              </w:rPr>
              <w:t>.</w:t>
            </w:r>
            <w:r w:rsidR="001B5DA3" w:rsidRPr="009952A2">
              <w:rPr>
                <w:rFonts w:ascii="Myriad Pro" w:hAnsi="Myriad Pro"/>
                <w:i/>
                <w:sz w:val="20"/>
                <w:szCs w:val="20"/>
                <w:lang w:val="en-GB"/>
              </w:rPr>
              <w:t xml:space="preserve"> </w:t>
            </w:r>
          </w:p>
        </w:tc>
      </w:tr>
    </w:tbl>
    <w:p w14:paraId="38DC74E9" w14:textId="35346D1A" w:rsidR="00CA6A5A" w:rsidRPr="009952A2" w:rsidRDefault="00CA6A5A" w:rsidP="00A34D33">
      <w:pPr>
        <w:spacing w:after="60"/>
        <w:rPr>
          <w:sz w:val="20"/>
          <w:szCs w:val="20"/>
          <w:lang w:val="en-GB"/>
        </w:rPr>
      </w:pPr>
    </w:p>
    <w:p w14:paraId="23D3EA2A" w14:textId="516056F6" w:rsidR="00CA6A5A" w:rsidRPr="009952A2" w:rsidRDefault="00534A73" w:rsidP="00A34D33">
      <w:pPr>
        <w:spacing w:after="60"/>
        <w:rPr>
          <w:sz w:val="20"/>
          <w:szCs w:val="20"/>
          <w:lang w:val="en-GB"/>
        </w:rPr>
      </w:pPr>
      <w:r w:rsidRPr="009952A2">
        <w:rPr>
          <w:rFonts w:ascii="Myriad Pro" w:hAnsi="Myriad Pro"/>
          <w:noProof/>
          <w:lang w:val="en-US"/>
        </w:rPr>
        <w:drawing>
          <wp:inline distT="0" distB="0" distL="0" distR="0" wp14:anchorId="77F4FA60" wp14:editId="0C361B01">
            <wp:extent cx="5737860" cy="252222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271009" w14:textId="1F57864C" w:rsidR="00CA6A5A" w:rsidRPr="009952A2" w:rsidRDefault="00CA6A5A" w:rsidP="00A34D33">
      <w:pPr>
        <w:spacing w:after="60"/>
        <w:rPr>
          <w:sz w:val="20"/>
          <w:szCs w:val="20"/>
          <w:lang w:val="en-GB"/>
        </w:rPr>
      </w:pPr>
    </w:p>
    <w:p w14:paraId="3156D63C" w14:textId="4D3F3FD0" w:rsidR="009A7A76" w:rsidRPr="009952A2" w:rsidRDefault="009A7A76" w:rsidP="00534A73">
      <w:pPr>
        <w:tabs>
          <w:tab w:val="left" w:pos="3144"/>
        </w:tabs>
        <w:spacing w:after="60"/>
        <w:rPr>
          <w:sz w:val="20"/>
          <w:szCs w:val="20"/>
          <w:lang w:val="en-GB"/>
        </w:rPr>
      </w:pPr>
    </w:p>
    <w:sectPr w:rsidR="009A7A76" w:rsidRPr="009952A2" w:rsidSect="000F0154">
      <w:headerReference w:type="default" r:id="rId9"/>
      <w:footerReference w:type="default" r:id="rId10"/>
      <w:headerReference w:type="first" r:id="rId11"/>
      <w:footerReference w:type="first" r:id="rId12"/>
      <w:pgSz w:w="11906" w:h="16838"/>
      <w:pgMar w:top="1440" w:right="1417" w:bottom="851" w:left="1417" w:header="851"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3959" w14:textId="77777777" w:rsidR="00E231B2" w:rsidRDefault="00E231B2" w:rsidP="007D3DC2">
      <w:pPr>
        <w:spacing w:after="0" w:line="240" w:lineRule="auto"/>
      </w:pPr>
      <w:r>
        <w:separator/>
      </w:r>
    </w:p>
  </w:endnote>
  <w:endnote w:type="continuationSeparator" w:id="0">
    <w:p w14:paraId="77AB3F62" w14:textId="77777777" w:rsidR="00E231B2" w:rsidRDefault="00E231B2" w:rsidP="007D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Myriad Pro Cond">
    <w:altName w:val="Franklin Gothic Medium Cond"/>
    <w:panose1 w:val="020B0604020202020204"/>
    <w:charset w:val="00"/>
    <w:family w:val="swiss"/>
    <w:notTrueType/>
    <w:pitch w:val="variable"/>
    <w:sig w:usb0="00000001" w:usb1="00000001" w:usb2="00000000" w:usb3="00000000" w:csb0="0000019F" w:csb1="00000000"/>
  </w:font>
  <w:font w:name="Myriad Pro Light">
    <w:altName w:val="Calibri Light"/>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erif">
    <w:altName w:val="MS Gothic"/>
    <w:panose1 w:val="020B0604020202020204"/>
    <w:charset w:val="00"/>
    <w:family w:val="roman"/>
    <w:pitch w:val="variable"/>
    <w:sig w:usb0="E50006FF" w:usb1="5200F9FB" w:usb2="0A040020" w:usb3="00000000" w:csb0="0000009F" w:csb1="00000000"/>
  </w:font>
  <w:font w:name="DejaVu Sans">
    <w:altName w:val="Arial"/>
    <w:panose1 w:val="020B0604020202020204"/>
    <w:charset w:val="00"/>
    <w:family w:val="swiss"/>
    <w:pitch w:val="variable"/>
    <w:sig w:usb0="E7002EFF" w:usb1="D200FDFF" w:usb2="0A246029" w:usb3="00000000" w:csb0="000001FF" w:csb1="00000000"/>
  </w:font>
  <w:font w:name="Myriad Pro">
    <w:altName w:val="Calibri"/>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19A7" w14:textId="3335D4E3" w:rsidR="002952F8" w:rsidRPr="00C30EB6" w:rsidRDefault="0001566F" w:rsidP="00D1063F">
    <w:pPr>
      <w:pStyle w:val="Footer"/>
      <w:tabs>
        <w:tab w:val="clear" w:pos="9072"/>
      </w:tabs>
      <w:ind w:right="-426"/>
      <w:jc w:val="right"/>
      <w:rPr>
        <w:rFonts w:ascii="Myriad Pro Light" w:hAnsi="Myriad Pro Light"/>
        <w:b/>
        <w:color w:val="FFFFFF"/>
      </w:rPr>
    </w:pPr>
    <w:r>
      <w:rPr>
        <w:noProof/>
        <w:lang w:val="en-US"/>
      </w:rPr>
      <mc:AlternateContent>
        <mc:Choice Requires="wpg">
          <w:drawing>
            <wp:anchor distT="0" distB="0" distL="114300" distR="114300" simplePos="0" relativeHeight="251658752" behindDoc="0" locked="0" layoutInCell="1" allowOverlap="1" wp14:anchorId="3D45D2C4" wp14:editId="66C0B2E5">
              <wp:simplePos x="0" y="0"/>
              <wp:positionH relativeFrom="column">
                <wp:posOffset>6099175</wp:posOffset>
              </wp:positionH>
              <wp:positionV relativeFrom="paragraph">
                <wp:posOffset>-2059305</wp:posOffset>
              </wp:positionV>
              <wp:extent cx="593090" cy="871220"/>
              <wp:effectExtent l="3175" t="0" r="635" b="0"/>
              <wp:wrapNone/>
              <wp:docPr id="857"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871220"/>
                        <a:chOff x="0" y="0"/>
                        <a:chExt cx="29781" cy="43751"/>
                      </a:xfrm>
                    </wpg:grpSpPr>
                    <wps:wsp>
                      <wps:cNvPr id="858" name="Freeform 2"/>
                      <wps:cNvSpPr>
                        <a:spLocks/>
                      </wps:cNvSpPr>
                      <wps:spPr bwMode="auto">
                        <a:xfrm>
                          <a:off x="571" y="0"/>
                          <a:ext cx="29210" cy="5969"/>
                        </a:xfrm>
                        <a:custGeom>
                          <a:avLst/>
                          <a:gdLst>
                            <a:gd name="T0" fmla="*/ 0 w 779"/>
                            <a:gd name="T1" fmla="*/ 93852 h 159"/>
                            <a:gd name="T2" fmla="*/ 2921000 w 779"/>
                            <a:gd name="T3" fmla="*/ 596900 h 159"/>
                            <a:gd name="T4" fmla="*/ 2921000 w 779"/>
                            <a:gd name="T5" fmla="*/ 105114 h 159"/>
                            <a:gd name="T6" fmla="*/ 0 w 779"/>
                            <a:gd name="T7" fmla="*/ 93852 h 159"/>
                            <a:gd name="T8" fmla="*/ 0 60000 65536"/>
                            <a:gd name="T9" fmla="*/ 0 60000 65536"/>
                            <a:gd name="T10" fmla="*/ 0 60000 65536"/>
                            <a:gd name="T11" fmla="*/ 0 60000 65536"/>
                            <a:gd name="T12" fmla="*/ 0 w 779"/>
                            <a:gd name="T13" fmla="*/ 0 h 159"/>
                            <a:gd name="T14" fmla="*/ 779 w 779"/>
                            <a:gd name="T15" fmla="*/ 159 h 159"/>
                          </a:gdLst>
                          <a:ahLst/>
                          <a:cxnLst>
                            <a:cxn ang="T8">
                              <a:pos x="T0" y="T1"/>
                            </a:cxn>
                            <a:cxn ang="T9">
                              <a:pos x="T2" y="T3"/>
                            </a:cxn>
                            <a:cxn ang="T10">
                              <a:pos x="T4" y="T5"/>
                            </a:cxn>
                            <a:cxn ang="T11">
                              <a:pos x="T6" y="T7"/>
                            </a:cxn>
                          </a:cxnLst>
                          <a:rect l="T12" t="T13" r="T14" b="T15"/>
                          <a:pathLst/>
                        </a:custGeom>
                        <a:solidFill>
                          <a:srgbClr val="2A3B8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5C0282" w14:textId="77777777" w:rsidR="002952F8" w:rsidRDefault="002952F8" w:rsidP="00D1063F">
                            <w:pPr>
                              <w:rPr>
                                <w:rFonts w:eastAsia="Times New Roman"/>
                              </w:rPr>
                            </w:pPr>
                          </w:p>
                        </w:txbxContent>
                      </wps:txbx>
                      <wps:bodyPr rot="0" vert="horz" wrap="square" lIns="91440" tIns="45720" rIns="91440" bIns="45720" anchor="t" anchorCtr="0" upright="1">
                        <a:noAutofit/>
                      </wps:bodyPr>
                    </wps:wsp>
                    <wps:wsp>
                      <wps:cNvPr id="859" name="Freeform 3"/>
                      <wps:cNvSpPr>
                        <a:spLocks/>
                      </wps:cNvSpPr>
                      <wps:spPr bwMode="auto">
                        <a:xfrm>
                          <a:off x="0" y="34829"/>
                          <a:ext cx="29781" cy="8922"/>
                        </a:xfrm>
                        <a:custGeom>
                          <a:avLst/>
                          <a:gdLst>
                            <a:gd name="T0" fmla="*/ 0 w 794"/>
                            <a:gd name="T1" fmla="*/ 127454 h 238"/>
                            <a:gd name="T2" fmla="*/ 2978150 w 794"/>
                            <a:gd name="T3" fmla="*/ 892175 h 238"/>
                            <a:gd name="T4" fmla="*/ 2978150 w 794"/>
                            <a:gd name="T5" fmla="*/ 243661 h 238"/>
                            <a:gd name="T6" fmla="*/ 0 w 794"/>
                            <a:gd name="T7" fmla="*/ 127454 h 238"/>
                            <a:gd name="T8" fmla="*/ 0 60000 65536"/>
                            <a:gd name="T9" fmla="*/ 0 60000 65536"/>
                            <a:gd name="T10" fmla="*/ 0 60000 65536"/>
                            <a:gd name="T11" fmla="*/ 0 60000 65536"/>
                            <a:gd name="T12" fmla="*/ 0 w 794"/>
                            <a:gd name="T13" fmla="*/ 0 h 238"/>
                            <a:gd name="T14" fmla="*/ 794 w 794"/>
                            <a:gd name="T15" fmla="*/ 238 h 238"/>
                          </a:gdLst>
                          <a:ahLst/>
                          <a:cxnLst>
                            <a:cxn ang="T8">
                              <a:pos x="T0" y="T1"/>
                            </a:cxn>
                            <a:cxn ang="T9">
                              <a:pos x="T2" y="T3"/>
                            </a:cxn>
                            <a:cxn ang="T10">
                              <a:pos x="T4" y="T5"/>
                            </a:cxn>
                            <a:cxn ang="T11">
                              <a:pos x="T6" y="T7"/>
                            </a:cxn>
                          </a:cxnLst>
                          <a:rect l="T12" t="T13" r="T14" b="T15"/>
                          <a:pathLst/>
                        </a:custGeom>
                        <a:solidFill>
                          <a:srgbClr val="F27C2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5994EB" w14:textId="77777777" w:rsidR="002952F8" w:rsidRDefault="002952F8" w:rsidP="00D1063F">
                            <w:pPr>
                              <w:rPr>
                                <w:rFonts w:eastAsia="Times New Roman"/>
                              </w:rPr>
                            </w:pPr>
                          </w:p>
                        </w:txbxContent>
                      </wps:txbx>
                      <wps:bodyPr rot="0" vert="horz" wrap="square" lIns="91440" tIns="45720" rIns="91440" bIns="45720" anchor="t" anchorCtr="0" upright="1">
                        <a:noAutofit/>
                      </wps:bodyPr>
                    </wps:wsp>
                    <wps:wsp>
                      <wps:cNvPr id="860" name="Freeform 4"/>
                      <wps:cNvSpPr>
                        <a:spLocks/>
                      </wps:cNvSpPr>
                      <wps:spPr bwMode="auto">
                        <a:xfrm>
                          <a:off x="0" y="17399"/>
                          <a:ext cx="29781" cy="7239"/>
                        </a:xfrm>
                        <a:custGeom>
                          <a:avLst/>
                          <a:gdLst>
                            <a:gd name="T0" fmla="*/ 0 w 794"/>
                            <a:gd name="T1" fmla="*/ 108773 h 193"/>
                            <a:gd name="T2" fmla="*/ 2978150 w 794"/>
                            <a:gd name="T3" fmla="*/ 723900 h 193"/>
                            <a:gd name="T4" fmla="*/ 2978150 w 794"/>
                            <a:gd name="T5" fmla="*/ 165034 h 193"/>
                            <a:gd name="T6" fmla="*/ 0 w 794"/>
                            <a:gd name="T7" fmla="*/ 108773 h 193"/>
                            <a:gd name="T8" fmla="*/ 0 60000 65536"/>
                            <a:gd name="T9" fmla="*/ 0 60000 65536"/>
                            <a:gd name="T10" fmla="*/ 0 60000 65536"/>
                            <a:gd name="T11" fmla="*/ 0 60000 65536"/>
                            <a:gd name="T12" fmla="*/ 0 w 794"/>
                            <a:gd name="T13" fmla="*/ 0 h 193"/>
                            <a:gd name="T14" fmla="*/ 794 w 794"/>
                            <a:gd name="T15" fmla="*/ 193 h 193"/>
                          </a:gdLst>
                          <a:ahLst/>
                          <a:cxnLst>
                            <a:cxn ang="T8">
                              <a:pos x="T0" y="T1"/>
                            </a:cxn>
                            <a:cxn ang="T9">
                              <a:pos x="T2" y="T3"/>
                            </a:cxn>
                            <a:cxn ang="T10">
                              <a:pos x="T4" y="T5"/>
                            </a:cxn>
                            <a:cxn ang="T11">
                              <a:pos x="T6" y="T7"/>
                            </a:cxn>
                          </a:cxnLst>
                          <a:rect l="T12" t="T13" r="T14" b="T15"/>
                          <a:pathLst/>
                        </a:custGeom>
                        <a:solidFill>
                          <a:srgbClr val="28A8E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CA96E8" w14:textId="77777777" w:rsidR="002952F8" w:rsidRDefault="002952F8" w:rsidP="00D1063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5D2C4" id="Group 733" o:spid="_x0000_s1026" style="position:absolute;left:0;text-align:left;margin-left:480.25pt;margin-top:-162.15pt;width:46.7pt;height:68.6pt;z-index:251658752" coordsize="29781,4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">
              <v:shape id="Freeform 2" o:spid="_x0000_s1027" style="position:absolute;left:571;width:29210;height:5969;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" adj="-11796480,,5400" path="al10800,10800@8@8@4@6,10800,10800,10800,10800@9@7l@30@31@17@18@24@25@15@16@32@33xe" fillcolor="#2a3b8f" stroked="f">
                <v:stroke joinstyle="round"/>
                <v:formulas/>
                <v:path arrowok="t" o:connecttype="custom" o:connectlocs="0,3523287;109528126,22408152;109528126,3946072;0,3523287" o:connectangles="0,0,0,0" textboxrect="@1,@1,@1,@1"/>
                <v:textbox>
                  <w:txbxContent>
                    <w:p w14:paraId="745C0282" w14:textId="77777777" w:rsidR="002952F8" w:rsidRDefault="002952F8" w:rsidP="00D1063F">
                      <w:pPr>
                        <w:rPr>
                          <w:rFonts w:eastAsia="Times New Roman"/>
                        </w:rPr>
                      </w:pPr>
                    </w:p>
                  </w:txbxContent>
                </v:textbox>
              </v:shape>
              <v:shape id="Freeform 3" o:spid="_x0000_s1028" style="position:absolute;top:34829;width:29781;height:8922;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" adj="-11796480,,5400" path="al10800,10800@8@8@4@6,10800,10800,10800,10800@9@7l@30@31@17@18@24@25@15@16@32@33xe" fillcolor="#f27c21" stroked="f">
                <v:stroke joinstyle="round"/>
                <v:formulas/>
                <v:path arrowok="t" o:connecttype="custom" o:connectlocs="0,4777918;111703130,33445317;111703130,9134216;0,4777918" o:connectangles="0,0,0,0" textboxrect="@1,@1,@1,@1"/>
                <v:textbox>
                  <w:txbxContent>
                    <w:p w14:paraId="0F5994EB" w14:textId="77777777" w:rsidR="002952F8" w:rsidRDefault="002952F8" w:rsidP="00D1063F">
                      <w:pPr>
                        <w:rPr>
                          <w:rFonts w:eastAsia="Times New Roman"/>
                        </w:rPr>
                      </w:pPr>
                    </w:p>
                  </w:txbxContent>
                </v:textbox>
              </v:shape>
              <v:shape id="Freeform 4" o:spid="_x0000_s1029" style="position:absolute;top:17399;width:29781;height:7239;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" adj="-11796480,,5400" path="al10800,10800@8@8@4@6,10800,10800,10800,10800@9@7l@30@31@17@18@24@25@15@16@32@33xe" fillcolor="#28a8e0" stroked="f">
                <v:stroke joinstyle="round"/>
                <v:formulas/>
                <v:path arrowok="t" o:connecttype="custom" o:connectlocs="0,4079833;111703130,27151876;111703130,6190058;0,4079833" o:connectangles="0,0,0,0" textboxrect="@1,@1,@1,@1"/>
                <v:textbox>
                  <w:txbxContent>
                    <w:p w14:paraId="35CA96E8" w14:textId="77777777" w:rsidR="002952F8" w:rsidRDefault="002952F8" w:rsidP="00D1063F">
                      <w:pPr>
                        <w:rPr>
                          <w:rFonts w:eastAsia="Times New Roman"/>
                        </w:rPr>
                      </w:pPr>
                    </w:p>
                  </w:txbxContent>
                </v:textbox>
              </v:shape>
            </v:group>
          </w:pict>
        </mc:Fallback>
      </mc:AlternateContent>
    </w:r>
    <w:r>
      <w:rPr>
        <w:noProof/>
        <w:lang w:val="en-US"/>
      </w:rPr>
      <w:drawing>
        <wp:anchor distT="0" distB="0" distL="114300" distR="114300" simplePos="0" relativeHeight="251660800" behindDoc="1" locked="0" layoutInCell="1" allowOverlap="1" wp14:anchorId="3AB3769B" wp14:editId="6D090FCE">
          <wp:simplePos x="0" y="0"/>
          <wp:positionH relativeFrom="column">
            <wp:posOffset>5712460</wp:posOffset>
          </wp:positionH>
          <wp:positionV relativeFrom="paragraph">
            <wp:posOffset>-288925</wp:posOffset>
          </wp:positionV>
          <wp:extent cx="488950" cy="765175"/>
          <wp:effectExtent l="0" t="0" r="0" b="0"/>
          <wp:wrapNone/>
          <wp:docPr id="732" name="Picture 732" descr="Footer-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Footer-0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65175"/>
                  </a:xfrm>
                  <a:prstGeom prst="rect">
                    <a:avLst/>
                  </a:prstGeom>
                  <a:noFill/>
                </pic:spPr>
              </pic:pic>
            </a:graphicData>
          </a:graphic>
          <wp14:sizeRelH relativeFrom="page">
            <wp14:pctWidth>0</wp14:pctWidth>
          </wp14:sizeRelH>
          <wp14:sizeRelV relativeFrom="page">
            <wp14:pctHeight>0</wp14:pctHeight>
          </wp14:sizeRelV>
        </wp:anchor>
      </w:drawing>
    </w:r>
    <w:r w:rsidR="002952F8" w:rsidRPr="00C30EB6">
      <w:rPr>
        <w:rFonts w:ascii="Myriad Pro Light" w:hAnsi="Myriad Pro Light"/>
        <w:b/>
        <w:color w:val="FFFFFF"/>
      </w:rPr>
      <w:fldChar w:fldCharType="begin"/>
    </w:r>
    <w:r w:rsidR="002952F8" w:rsidRPr="00C30EB6">
      <w:rPr>
        <w:rFonts w:ascii="Myriad Pro Light" w:hAnsi="Myriad Pro Light"/>
        <w:b/>
        <w:color w:val="FFFFFF"/>
      </w:rPr>
      <w:instrText xml:space="preserve"> PAGE   \* MERGEFORMAT </w:instrText>
    </w:r>
    <w:r w:rsidR="002952F8" w:rsidRPr="00C30EB6">
      <w:rPr>
        <w:rFonts w:ascii="Myriad Pro Light" w:hAnsi="Myriad Pro Light"/>
        <w:b/>
        <w:color w:val="FFFFFF"/>
      </w:rPr>
      <w:fldChar w:fldCharType="separate"/>
    </w:r>
    <w:r w:rsidR="00197ED2">
      <w:rPr>
        <w:rFonts w:ascii="Myriad Pro Light" w:hAnsi="Myriad Pro Light"/>
        <w:b/>
        <w:noProof/>
        <w:color w:val="FFFFFF"/>
      </w:rPr>
      <w:t>3</w:t>
    </w:r>
    <w:r w:rsidR="002952F8" w:rsidRPr="00C30EB6">
      <w:rPr>
        <w:rFonts w:ascii="Myriad Pro Light" w:hAnsi="Myriad Pro Light"/>
        <w:b/>
        <w:noProof/>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47C5" w14:textId="2E4DA96B" w:rsidR="002952F8" w:rsidRDefault="0001566F">
    <w:pPr>
      <w:pStyle w:val="Footer"/>
    </w:pPr>
    <w:r>
      <w:rPr>
        <w:noProof/>
        <w:lang w:val="en-US"/>
      </w:rPr>
      <w:drawing>
        <wp:anchor distT="0" distB="0" distL="114300" distR="114300" simplePos="0" relativeHeight="251659776" behindDoc="0" locked="0" layoutInCell="1" allowOverlap="1" wp14:anchorId="1CA46129" wp14:editId="54A08CFD">
          <wp:simplePos x="0" y="0"/>
          <wp:positionH relativeFrom="column">
            <wp:posOffset>-650240</wp:posOffset>
          </wp:positionH>
          <wp:positionV relativeFrom="paragraph">
            <wp:posOffset>-281305</wp:posOffset>
          </wp:positionV>
          <wp:extent cx="7376795" cy="556260"/>
          <wp:effectExtent l="0" t="0" r="0" b="2540"/>
          <wp:wrapNone/>
          <wp:docPr id="743" name="Picture 743" descr="Footer-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Footer-0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795" cy="5562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5680" behindDoc="0" locked="0" layoutInCell="1" allowOverlap="1" wp14:anchorId="69301093" wp14:editId="477D2170">
              <wp:simplePos x="0" y="0"/>
              <wp:positionH relativeFrom="column">
                <wp:posOffset>6076950</wp:posOffset>
              </wp:positionH>
              <wp:positionV relativeFrom="paragraph">
                <wp:posOffset>-1971040</wp:posOffset>
              </wp:positionV>
              <wp:extent cx="593090" cy="871220"/>
              <wp:effectExtent l="6350" t="0" r="0" b="0"/>
              <wp:wrapNone/>
              <wp:docPr id="1" name="Group 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871220"/>
                        <a:chOff x="0" y="0"/>
                        <a:chExt cx="29781" cy="43751"/>
                      </a:xfrm>
                    </wpg:grpSpPr>
                    <wps:wsp>
                      <wps:cNvPr id="2" name="Freeform 2"/>
                      <wps:cNvSpPr>
                        <a:spLocks/>
                      </wps:cNvSpPr>
                      <wps:spPr bwMode="auto">
                        <a:xfrm>
                          <a:off x="571" y="0"/>
                          <a:ext cx="29210" cy="5969"/>
                        </a:xfrm>
                        <a:custGeom>
                          <a:avLst/>
                          <a:gdLst>
                            <a:gd name="T0" fmla="*/ 0 w 779"/>
                            <a:gd name="T1" fmla="*/ 93852 h 159"/>
                            <a:gd name="T2" fmla="*/ 2921000 w 779"/>
                            <a:gd name="T3" fmla="*/ 596900 h 159"/>
                            <a:gd name="T4" fmla="*/ 2921000 w 779"/>
                            <a:gd name="T5" fmla="*/ 105114 h 159"/>
                            <a:gd name="T6" fmla="*/ 0 w 779"/>
                            <a:gd name="T7" fmla="*/ 93852 h 159"/>
                            <a:gd name="T8" fmla="*/ 0 60000 65536"/>
                            <a:gd name="T9" fmla="*/ 0 60000 65536"/>
                            <a:gd name="T10" fmla="*/ 0 60000 65536"/>
                            <a:gd name="T11" fmla="*/ 0 60000 65536"/>
                            <a:gd name="T12" fmla="*/ 0 w 779"/>
                            <a:gd name="T13" fmla="*/ 0 h 159"/>
                            <a:gd name="T14" fmla="*/ 779 w 779"/>
                            <a:gd name="T15" fmla="*/ 159 h 159"/>
                          </a:gdLst>
                          <a:ahLst/>
                          <a:cxnLst>
                            <a:cxn ang="T8">
                              <a:pos x="T0" y="T1"/>
                            </a:cxn>
                            <a:cxn ang="T9">
                              <a:pos x="T2" y="T3"/>
                            </a:cxn>
                            <a:cxn ang="T10">
                              <a:pos x="T4" y="T5"/>
                            </a:cxn>
                            <a:cxn ang="T11">
                              <a:pos x="T6" y="T7"/>
                            </a:cxn>
                          </a:cxnLst>
                          <a:rect l="T12" t="T13" r="T14" b="T15"/>
                          <a:pathLst/>
                        </a:custGeom>
                        <a:solidFill>
                          <a:srgbClr val="2A3B8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10BB7F" w14:textId="77777777" w:rsidR="002952F8" w:rsidRDefault="002952F8" w:rsidP="007A0039">
                            <w:pPr>
                              <w:rPr>
                                <w:rFonts w:eastAsia="Times New Roman"/>
                              </w:rPr>
                            </w:pPr>
                          </w:p>
                        </w:txbxContent>
                      </wps:txbx>
                      <wps:bodyPr rot="0" vert="horz" wrap="square" lIns="91440" tIns="45720" rIns="91440" bIns="45720" anchor="t" anchorCtr="0" upright="1">
                        <a:noAutofit/>
                      </wps:bodyPr>
                    </wps:wsp>
                    <wps:wsp>
                      <wps:cNvPr id="3" name="Freeform 3"/>
                      <wps:cNvSpPr>
                        <a:spLocks/>
                      </wps:cNvSpPr>
                      <wps:spPr bwMode="auto">
                        <a:xfrm>
                          <a:off x="0" y="34829"/>
                          <a:ext cx="29781" cy="8922"/>
                        </a:xfrm>
                        <a:custGeom>
                          <a:avLst/>
                          <a:gdLst>
                            <a:gd name="T0" fmla="*/ 0 w 794"/>
                            <a:gd name="T1" fmla="*/ 127454 h 238"/>
                            <a:gd name="T2" fmla="*/ 2978150 w 794"/>
                            <a:gd name="T3" fmla="*/ 892175 h 238"/>
                            <a:gd name="T4" fmla="*/ 2978150 w 794"/>
                            <a:gd name="T5" fmla="*/ 243661 h 238"/>
                            <a:gd name="T6" fmla="*/ 0 w 794"/>
                            <a:gd name="T7" fmla="*/ 127454 h 238"/>
                            <a:gd name="T8" fmla="*/ 0 60000 65536"/>
                            <a:gd name="T9" fmla="*/ 0 60000 65536"/>
                            <a:gd name="T10" fmla="*/ 0 60000 65536"/>
                            <a:gd name="T11" fmla="*/ 0 60000 65536"/>
                            <a:gd name="T12" fmla="*/ 0 w 794"/>
                            <a:gd name="T13" fmla="*/ 0 h 238"/>
                            <a:gd name="T14" fmla="*/ 794 w 794"/>
                            <a:gd name="T15" fmla="*/ 238 h 238"/>
                          </a:gdLst>
                          <a:ahLst/>
                          <a:cxnLst>
                            <a:cxn ang="T8">
                              <a:pos x="T0" y="T1"/>
                            </a:cxn>
                            <a:cxn ang="T9">
                              <a:pos x="T2" y="T3"/>
                            </a:cxn>
                            <a:cxn ang="T10">
                              <a:pos x="T4" y="T5"/>
                            </a:cxn>
                            <a:cxn ang="T11">
                              <a:pos x="T6" y="T7"/>
                            </a:cxn>
                          </a:cxnLst>
                          <a:rect l="T12" t="T13" r="T14" b="T15"/>
                          <a:pathLst/>
                        </a:custGeom>
                        <a:solidFill>
                          <a:srgbClr val="F27C2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68FE7" w14:textId="77777777" w:rsidR="002952F8" w:rsidRDefault="002952F8" w:rsidP="007A0039">
                            <w:pPr>
                              <w:rPr>
                                <w:rFonts w:eastAsia="Times New Roman"/>
                              </w:rPr>
                            </w:pPr>
                          </w:p>
                        </w:txbxContent>
                      </wps:txbx>
                      <wps:bodyPr rot="0" vert="horz" wrap="square" lIns="91440" tIns="45720" rIns="91440" bIns="45720" anchor="t" anchorCtr="0" upright="1">
                        <a:noAutofit/>
                      </wps:bodyPr>
                    </wps:wsp>
                    <wps:wsp>
                      <wps:cNvPr id="4" name="Freeform 4"/>
                      <wps:cNvSpPr>
                        <a:spLocks/>
                      </wps:cNvSpPr>
                      <wps:spPr bwMode="auto">
                        <a:xfrm>
                          <a:off x="0" y="17399"/>
                          <a:ext cx="29781" cy="7239"/>
                        </a:xfrm>
                        <a:custGeom>
                          <a:avLst/>
                          <a:gdLst>
                            <a:gd name="T0" fmla="*/ 0 w 794"/>
                            <a:gd name="T1" fmla="*/ 108773 h 193"/>
                            <a:gd name="T2" fmla="*/ 2978150 w 794"/>
                            <a:gd name="T3" fmla="*/ 723900 h 193"/>
                            <a:gd name="T4" fmla="*/ 2978150 w 794"/>
                            <a:gd name="T5" fmla="*/ 165034 h 193"/>
                            <a:gd name="T6" fmla="*/ 0 w 794"/>
                            <a:gd name="T7" fmla="*/ 108773 h 193"/>
                            <a:gd name="T8" fmla="*/ 0 60000 65536"/>
                            <a:gd name="T9" fmla="*/ 0 60000 65536"/>
                            <a:gd name="T10" fmla="*/ 0 60000 65536"/>
                            <a:gd name="T11" fmla="*/ 0 60000 65536"/>
                            <a:gd name="T12" fmla="*/ 0 w 794"/>
                            <a:gd name="T13" fmla="*/ 0 h 193"/>
                            <a:gd name="T14" fmla="*/ 794 w 794"/>
                            <a:gd name="T15" fmla="*/ 193 h 193"/>
                          </a:gdLst>
                          <a:ahLst/>
                          <a:cxnLst>
                            <a:cxn ang="T8">
                              <a:pos x="T0" y="T1"/>
                            </a:cxn>
                            <a:cxn ang="T9">
                              <a:pos x="T2" y="T3"/>
                            </a:cxn>
                            <a:cxn ang="T10">
                              <a:pos x="T4" y="T5"/>
                            </a:cxn>
                            <a:cxn ang="T11">
                              <a:pos x="T6" y="T7"/>
                            </a:cxn>
                          </a:cxnLst>
                          <a:rect l="T12" t="T13" r="T14" b="T15"/>
                          <a:pathLst/>
                        </a:custGeom>
                        <a:solidFill>
                          <a:srgbClr val="28A8E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56EBC9" w14:textId="77777777" w:rsidR="002952F8" w:rsidRDefault="002952F8" w:rsidP="007A003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01093" id="Group 1793" o:spid="_x0000_s1030" style="position:absolute;margin-left:478.5pt;margin-top:-155.2pt;width:46.7pt;height:68.6pt;z-index:251655680" coordsize="29781,4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">
              <v:shape id="Freeform 2" o:spid="_x0000_s1031" style="position:absolute;left:571;width:29210;height:5969;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" adj="-11796480,,5400" path="al10800,10800@8@8@4@6,10800,10800,10800,10800@9@7l@30@31@17@18@24@25@15@16@32@33xe" fillcolor="#2a3b8f" stroked="f">
                <v:stroke joinstyle="round"/>
                <v:formulas/>
                <v:path arrowok="t" o:connecttype="custom" o:connectlocs="0,3523287;109528126,22408152;109528126,3946072;0,3523287" o:connectangles="0,0,0,0" textboxrect="@1,@1,@1,@1"/>
                <v:textbox>
                  <w:txbxContent>
                    <w:p w14:paraId="2010BB7F" w14:textId="77777777" w:rsidR="002952F8" w:rsidRDefault="002952F8" w:rsidP="007A0039">
                      <w:pPr>
                        <w:rPr>
                          <w:rFonts w:eastAsia="Times New Roman"/>
                        </w:rPr>
                      </w:pPr>
                    </w:p>
                  </w:txbxContent>
                </v:textbox>
              </v:shape>
              <v:shape id="Freeform 3" o:spid="_x0000_s1032" style="position:absolute;top:34829;width:29781;height:8922;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" adj="-11796480,,5400" path="al10800,10800@8@8@4@6,10800,10800,10800,10800@9@7l@30@31@17@18@24@25@15@16@32@33xe" fillcolor="#f27c21" stroked="f">
                <v:stroke joinstyle="round"/>
                <v:formulas/>
                <v:path arrowok="t" o:connecttype="custom" o:connectlocs="0,4777918;111703130,33445317;111703130,9134216;0,4777918" o:connectangles="0,0,0,0" textboxrect="@1,@1,@1,@1"/>
                <v:textbox>
                  <w:txbxContent>
                    <w:p w14:paraId="3B568FE7" w14:textId="77777777" w:rsidR="002952F8" w:rsidRDefault="002952F8" w:rsidP="007A0039">
                      <w:pPr>
                        <w:rPr>
                          <w:rFonts w:eastAsia="Times New Roman"/>
                        </w:rPr>
                      </w:pPr>
                    </w:p>
                  </w:txbxContent>
                </v:textbox>
              </v:shape>
              <v:shape id="Freeform 4" o:spid="_x0000_s1033" style="position:absolute;top:17399;width:29781;height:7239;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" adj="-11796480,,5400" path="al10800,10800@8@8@4@6,10800,10800,10800,10800@9@7l@30@31@17@18@24@25@15@16@32@33xe" fillcolor="#28a8e0" stroked="f">
                <v:stroke joinstyle="round"/>
                <v:formulas/>
                <v:path arrowok="t" o:connecttype="custom" o:connectlocs="0,4079833;111703130,27151876;111703130,6190058;0,4079833" o:connectangles="0,0,0,0" textboxrect="@1,@1,@1,@1"/>
                <v:textbox>
                  <w:txbxContent>
                    <w:p w14:paraId="3356EBC9" w14:textId="77777777" w:rsidR="002952F8" w:rsidRDefault="002952F8" w:rsidP="007A0039">
                      <w:pPr>
                        <w:rPr>
                          <w:rFonts w:eastAsia="Times New Roman"/>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0C9EA" w14:textId="77777777" w:rsidR="00E231B2" w:rsidRDefault="00E231B2" w:rsidP="007D3DC2">
      <w:pPr>
        <w:spacing w:after="0" w:line="240" w:lineRule="auto"/>
      </w:pPr>
      <w:r>
        <w:separator/>
      </w:r>
    </w:p>
  </w:footnote>
  <w:footnote w:type="continuationSeparator" w:id="0">
    <w:p w14:paraId="32D33B26" w14:textId="77777777" w:rsidR="00E231B2" w:rsidRDefault="00E231B2" w:rsidP="007D3DC2">
      <w:pPr>
        <w:spacing w:after="0" w:line="240" w:lineRule="auto"/>
      </w:pPr>
      <w:r>
        <w:continuationSeparator/>
      </w:r>
    </w:p>
  </w:footnote>
  <w:footnote w:id="1">
    <w:p w14:paraId="0C6E4806" w14:textId="77777777" w:rsidR="00CA6A5A" w:rsidRPr="009952A2" w:rsidRDefault="00CA6A5A" w:rsidP="001B5DA3">
      <w:pPr>
        <w:pStyle w:val="FootnoteText"/>
        <w:spacing w:after="0"/>
        <w:jc w:val="both"/>
        <w:rPr>
          <w:rFonts w:ascii="Myriad Pro" w:hAnsi="Myriad Pro"/>
          <w:lang w:val="en-GB"/>
        </w:rPr>
      </w:pPr>
      <w:r w:rsidRPr="009952A2">
        <w:rPr>
          <w:rStyle w:val="FootnoteReference"/>
          <w:rFonts w:ascii="Myriad Pro" w:hAnsi="Myriad Pro"/>
          <w:lang w:val="en-GB"/>
        </w:rPr>
        <w:footnoteRef/>
      </w:r>
      <w:r w:rsidRPr="009952A2">
        <w:rPr>
          <w:rStyle w:val="FootnoteReference"/>
          <w:rFonts w:ascii="Myriad Pro" w:hAnsi="Myriad Pro"/>
          <w:lang w:val="en-GB"/>
        </w:rPr>
        <w:t xml:space="preserve">  </w:t>
      </w:r>
      <w:r w:rsidRPr="009952A2">
        <w:rPr>
          <w:rFonts w:ascii="Myriad Pro" w:hAnsi="Myriad Pro"/>
          <w:lang w:val="en-GB"/>
        </w:rPr>
        <w:t>Conversion of points: 0-10 points = 0; 11-19 points = 1; 20-28 points = 2; 29-37 points =3; 38-46 points = 4; 47-56 points =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F485" w14:textId="0620D38D" w:rsidR="002952F8" w:rsidRPr="004B609C" w:rsidRDefault="0001566F" w:rsidP="004B609C">
    <w:pPr>
      <w:pStyle w:val="Header"/>
      <w:jc w:val="right"/>
      <w:rPr>
        <w:rFonts w:ascii="Myriad Pro" w:hAnsi="Myriad Pro"/>
        <w:color w:val="808080"/>
        <w:lang w:val="en-GB"/>
      </w:rPr>
    </w:pPr>
    <w:r w:rsidRPr="004B609C">
      <w:rPr>
        <w:rFonts w:ascii="Myriad Pro" w:hAnsi="Myriad Pro"/>
        <w:noProof/>
        <w:color w:val="808080"/>
        <w:lang w:val="en-US"/>
      </w:rPr>
      <mc:AlternateContent>
        <mc:Choice Requires="wps">
          <w:drawing>
            <wp:anchor distT="0" distB="0" distL="114300" distR="114300" simplePos="0" relativeHeight="251656704" behindDoc="0" locked="0" layoutInCell="1" allowOverlap="1" wp14:anchorId="3A612E9B" wp14:editId="164A9CD6">
              <wp:simplePos x="0" y="0"/>
              <wp:positionH relativeFrom="column">
                <wp:posOffset>5902325</wp:posOffset>
              </wp:positionH>
              <wp:positionV relativeFrom="paragraph">
                <wp:posOffset>3175</wp:posOffset>
              </wp:positionV>
              <wp:extent cx="148590" cy="148590"/>
              <wp:effectExtent l="0" t="3175" r="0" b="635"/>
              <wp:wrapNone/>
              <wp:docPr id="8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8590" cy="148590"/>
                      </a:xfrm>
                      <a:prstGeom prst="rect">
                        <a:avLst/>
                      </a:prstGeom>
                      <a:solidFill>
                        <a:srgbClr val="2C39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8ABFC87" id="Rectangle 7" o:spid="_x0000_s1026" style="position:absolute;margin-left:464.75pt;margin-top:.25pt;width:11.7pt;height:11.7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" fillcolor="#2c3990" stroked="f"/>
          </w:pict>
        </mc:Fallback>
      </mc:AlternateContent>
    </w:r>
    <w:r w:rsidR="002952F8" w:rsidRPr="004B609C">
      <w:rPr>
        <w:rFonts w:ascii="Myriad Pro" w:hAnsi="Myriad Pro"/>
        <w:color w:val="808080"/>
        <w:lang w:val="en-GB"/>
      </w:rPr>
      <w:t>WeBER Indicator Summary</w:t>
    </w:r>
    <w:r w:rsidR="000F0154" w:rsidRPr="004B609C">
      <w:rPr>
        <w:rFonts w:ascii="Myriad Pro" w:hAnsi="Myriad Pro"/>
        <w:color w:val="808080"/>
        <w:lang w:val="en-GB"/>
      </w:rPr>
      <w:t xml:space="preserve"> – Accountability </w:t>
    </w:r>
    <w:r w:rsidR="001979C1" w:rsidRPr="004B609C">
      <w:rPr>
        <w:rFonts w:ascii="Myriad Pro" w:hAnsi="Myriad Pro"/>
        <w:color w:val="808080"/>
        <w:lang w:val="en-GB"/>
      </w:rPr>
      <w:t>–</w:t>
    </w:r>
    <w:r w:rsidR="000F0154" w:rsidRPr="004B609C">
      <w:rPr>
        <w:rFonts w:ascii="Myriad Pro" w:hAnsi="Myriad Pro"/>
        <w:color w:val="808080"/>
        <w:lang w:val="en-GB"/>
      </w:rPr>
      <w:t xml:space="preserve"> P</w:t>
    </w:r>
    <w:r w:rsidR="001979C1" w:rsidRPr="004B609C">
      <w:rPr>
        <w:rFonts w:ascii="Myriad Pro" w:hAnsi="Myriad Pro"/>
        <w:color w:val="808080"/>
        <w:lang w:val="en-GB"/>
      </w:rPr>
      <w:t xml:space="preserve">2 I2 – </w:t>
    </w:r>
    <w:r w:rsidR="00581D84" w:rsidRPr="004B609C">
      <w:rPr>
        <w:rFonts w:ascii="Myriad Pro" w:hAnsi="Myriad Pro"/>
        <w:color w:val="808080"/>
        <w:lang w:val="en-GB"/>
      </w:rPr>
      <w:t>BIH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034B" w14:textId="728EF915" w:rsidR="002952F8" w:rsidRPr="00880D12" w:rsidRDefault="005E4DE0" w:rsidP="00880D12">
    <w:pPr>
      <w:pStyle w:val="Header"/>
      <w:jc w:val="right"/>
      <w:rPr>
        <w:color w:val="808080"/>
      </w:rPr>
    </w:pPr>
    <w:r>
      <w:rPr>
        <w:noProof/>
        <w:color w:val="808080"/>
        <w:lang w:val="en-US"/>
      </w:rPr>
      <w:drawing>
        <wp:anchor distT="0" distB="0" distL="114300" distR="114300" simplePos="0" relativeHeight="251661824" behindDoc="1" locked="0" layoutInCell="1" allowOverlap="1" wp14:anchorId="7F50DD30" wp14:editId="5AFFEE00">
          <wp:simplePos x="0" y="0"/>
          <wp:positionH relativeFrom="margin">
            <wp:posOffset>-635</wp:posOffset>
          </wp:positionH>
          <wp:positionV relativeFrom="paragraph">
            <wp:posOffset>122555</wp:posOffset>
          </wp:positionV>
          <wp:extent cx="1901190" cy="2095500"/>
          <wp:effectExtent l="0" t="0" r="3810" b="0"/>
          <wp:wrapTight wrapText="bothSides">
            <wp:wrapPolygon edited="0">
              <wp:start x="0" y="0"/>
              <wp:lineTo x="0" y="21404"/>
              <wp:lineTo x="21427" y="21404"/>
              <wp:lineTo x="214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9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pt;height:10pt" o:bullet="t">
        <v:imagedata r:id="rId1" o:title="j0115864"/>
      </v:shape>
    </w:pict>
  </w:numPicBullet>
  <w:numPicBullet w:numPicBulletId="1">
    <w:pict>
      <v:shape id="_x0000_i1051" type="#_x0000_t75" style="width:9.25pt;height:9.25pt" o:bullet="t">
        <v:imagedata r:id="rId2" o:title="j0115836"/>
      </v:shape>
    </w:pict>
  </w:numPicBullet>
  <w:abstractNum w:abstractNumId="0" w15:restartNumberingAfterBreak="0">
    <w:nsid w:val="FFFFFF89"/>
    <w:multiLevelType w:val="singleLevel"/>
    <w:tmpl w:val="0590E652"/>
    <w:lvl w:ilvl="0">
      <w:start w:val="1"/>
      <w:numFmt w:val="bullet"/>
      <w:pStyle w:val="Bullet1WeBER"/>
      <w:lvlText w:val=""/>
      <w:lvlPicBulletId w:val="0"/>
      <w:lvlJc w:val="left"/>
      <w:pPr>
        <w:ind w:left="360" w:hanging="360"/>
      </w:pPr>
      <w:rPr>
        <w:rFonts w:ascii="Symbol" w:hAnsi="Symbol" w:hint="default"/>
        <w:color w:val="auto"/>
      </w:rPr>
    </w:lvl>
  </w:abstractNum>
  <w:abstractNum w:abstractNumId="1" w15:restartNumberingAfterBreak="0">
    <w:nsid w:val="024B1509"/>
    <w:multiLevelType w:val="hybridMultilevel"/>
    <w:tmpl w:val="7816460C"/>
    <w:lvl w:ilvl="0" w:tplc="241A0001">
      <w:start w:val="1"/>
      <w:numFmt w:val="bullet"/>
      <w:lvlText w:val=""/>
      <w:lvlJc w:val="left"/>
      <w:pPr>
        <w:ind w:left="1009" w:hanging="360"/>
      </w:pPr>
      <w:rPr>
        <w:rFonts w:ascii="Symbol" w:hAnsi="Symbol" w:hint="default"/>
      </w:rPr>
    </w:lvl>
    <w:lvl w:ilvl="1" w:tplc="241A0003" w:tentative="1">
      <w:start w:val="1"/>
      <w:numFmt w:val="bullet"/>
      <w:lvlText w:val="o"/>
      <w:lvlJc w:val="left"/>
      <w:pPr>
        <w:ind w:left="1729" w:hanging="360"/>
      </w:pPr>
      <w:rPr>
        <w:rFonts w:ascii="Courier New" w:hAnsi="Courier New" w:cs="Courier New" w:hint="default"/>
      </w:rPr>
    </w:lvl>
    <w:lvl w:ilvl="2" w:tplc="241A0005" w:tentative="1">
      <w:start w:val="1"/>
      <w:numFmt w:val="bullet"/>
      <w:lvlText w:val=""/>
      <w:lvlJc w:val="left"/>
      <w:pPr>
        <w:ind w:left="2449" w:hanging="360"/>
      </w:pPr>
      <w:rPr>
        <w:rFonts w:ascii="Wingdings" w:hAnsi="Wingdings" w:hint="default"/>
      </w:rPr>
    </w:lvl>
    <w:lvl w:ilvl="3" w:tplc="241A0001" w:tentative="1">
      <w:start w:val="1"/>
      <w:numFmt w:val="bullet"/>
      <w:lvlText w:val=""/>
      <w:lvlJc w:val="left"/>
      <w:pPr>
        <w:ind w:left="3169" w:hanging="360"/>
      </w:pPr>
      <w:rPr>
        <w:rFonts w:ascii="Symbol" w:hAnsi="Symbol" w:hint="default"/>
      </w:rPr>
    </w:lvl>
    <w:lvl w:ilvl="4" w:tplc="241A0003" w:tentative="1">
      <w:start w:val="1"/>
      <w:numFmt w:val="bullet"/>
      <w:lvlText w:val="o"/>
      <w:lvlJc w:val="left"/>
      <w:pPr>
        <w:ind w:left="3889" w:hanging="360"/>
      </w:pPr>
      <w:rPr>
        <w:rFonts w:ascii="Courier New" w:hAnsi="Courier New" w:cs="Courier New" w:hint="default"/>
      </w:rPr>
    </w:lvl>
    <w:lvl w:ilvl="5" w:tplc="241A0005" w:tentative="1">
      <w:start w:val="1"/>
      <w:numFmt w:val="bullet"/>
      <w:lvlText w:val=""/>
      <w:lvlJc w:val="left"/>
      <w:pPr>
        <w:ind w:left="4609" w:hanging="360"/>
      </w:pPr>
      <w:rPr>
        <w:rFonts w:ascii="Wingdings" w:hAnsi="Wingdings" w:hint="default"/>
      </w:rPr>
    </w:lvl>
    <w:lvl w:ilvl="6" w:tplc="241A0001" w:tentative="1">
      <w:start w:val="1"/>
      <w:numFmt w:val="bullet"/>
      <w:lvlText w:val=""/>
      <w:lvlJc w:val="left"/>
      <w:pPr>
        <w:ind w:left="5329" w:hanging="360"/>
      </w:pPr>
      <w:rPr>
        <w:rFonts w:ascii="Symbol" w:hAnsi="Symbol" w:hint="default"/>
      </w:rPr>
    </w:lvl>
    <w:lvl w:ilvl="7" w:tplc="241A0003" w:tentative="1">
      <w:start w:val="1"/>
      <w:numFmt w:val="bullet"/>
      <w:lvlText w:val="o"/>
      <w:lvlJc w:val="left"/>
      <w:pPr>
        <w:ind w:left="6049" w:hanging="360"/>
      </w:pPr>
      <w:rPr>
        <w:rFonts w:ascii="Courier New" w:hAnsi="Courier New" w:cs="Courier New" w:hint="default"/>
      </w:rPr>
    </w:lvl>
    <w:lvl w:ilvl="8" w:tplc="241A0005" w:tentative="1">
      <w:start w:val="1"/>
      <w:numFmt w:val="bullet"/>
      <w:lvlText w:val=""/>
      <w:lvlJc w:val="left"/>
      <w:pPr>
        <w:ind w:left="6769" w:hanging="360"/>
      </w:pPr>
      <w:rPr>
        <w:rFonts w:ascii="Wingdings" w:hAnsi="Wingdings" w:hint="default"/>
      </w:rPr>
    </w:lvl>
  </w:abstractNum>
  <w:abstractNum w:abstractNumId="2" w15:restartNumberingAfterBreak="0">
    <w:nsid w:val="23CA392C"/>
    <w:multiLevelType w:val="hybridMultilevel"/>
    <w:tmpl w:val="027EFC9A"/>
    <w:lvl w:ilvl="0" w:tplc="36E4238A">
      <w:start w:val="1"/>
      <w:numFmt w:val="bullet"/>
      <w:pStyle w:val="Bullet2WeBER"/>
      <w:lvlText w:val=""/>
      <w:lvlPicBulletId w:val="1"/>
      <w:lvlJc w:val="left"/>
      <w:pPr>
        <w:ind w:left="862" w:hanging="360"/>
      </w:pPr>
      <w:rPr>
        <w:rFonts w:ascii="Symbol" w:hAnsi="Symbol" w:hint="default"/>
        <w:color w:val="auto"/>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3" w15:restartNumberingAfterBreak="0">
    <w:nsid w:val="32CF78B2"/>
    <w:multiLevelType w:val="hybridMultilevel"/>
    <w:tmpl w:val="179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7040A"/>
    <w:multiLevelType w:val="hybridMultilevel"/>
    <w:tmpl w:val="F07EA44E"/>
    <w:lvl w:ilvl="0" w:tplc="BABEADB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68BA0275"/>
    <w:multiLevelType w:val="hybridMultilevel"/>
    <w:tmpl w:val="E430BF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6" w15:restartNumberingAfterBreak="0">
    <w:nsid w:val="73844E0B"/>
    <w:multiLevelType w:val="hybridMultilevel"/>
    <w:tmpl w:val="0BFAB9DC"/>
    <w:lvl w:ilvl="0" w:tplc="0B088BFC">
      <w:start w:val="1"/>
      <w:numFmt w:val="bullet"/>
      <w:lvlText w:val=""/>
      <w:lvlJc w:val="left"/>
      <w:pPr>
        <w:ind w:left="720" w:hanging="360"/>
      </w:pPr>
      <w:rPr>
        <w:rFonts w:ascii="Symbol" w:hAnsi="Symbol" w:hint="default"/>
      </w:rPr>
    </w:lvl>
    <w:lvl w:ilvl="1" w:tplc="BEECF954">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3B"/>
    <w:rsid w:val="000027B1"/>
    <w:rsid w:val="0001566F"/>
    <w:rsid w:val="00035839"/>
    <w:rsid w:val="00037CBF"/>
    <w:rsid w:val="00040B3E"/>
    <w:rsid w:val="00054AA9"/>
    <w:rsid w:val="00093488"/>
    <w:rsid w:val="000B484B"/>
    <w:rsid w:val="000F0154"/>
    <w:rsid w:val="00100606"/>
    <w:rsid w:val="00102E49"/>
    <w:rsid w:val="00127E2B"/>
    <w:rsid w:val="00133CD0"/>
    <w:rsid w:val="00134825"/>
    <w:rsid w:val="0017498D"/>
    <w:rsid w:val="0017535F"/>
    <w:rsid w:val="00176743"/>
    <w:rsid w:val="00177B94"/>
    <w:rsid w:val="001920F8"/>
    <w:rsid w:val="00197495"/>
    <w:rsid w:val="00197907"/>
    <w:rsid w:val="001979C1"/>
    <w:rsid w:val="00197ED2"/>
    <w:rsid w:val="001B5DA3"/>
    <w:rsid w:val="001B7DEC"/>
    <w:rsid w:val="001E5385"/>
    <w:rsid w:val="002168A0"/>
    <w:rsid w:val="00217756"/>
    <w:rsid w:val="00234A85"/>
    <w:rsid w:val="0024078A"/>
    <w:rsid w:val="00243945"/>
    <w:rsid w:val="002478C6"/>
    <w:rsid w:val="00264833"/>
    <w:rsid w:val="00274A77"/>
    <w:rsid w:val="00277D2F"/>
    <w:rsid w:val="002952F8"/>
    <w:rsid w:val="002A1DB8"/>
    <w:rsid w:val="002A4F48"/>
    <w:rsid w:val="002C1695"/>
    <w:rsid w:val="002C6853"/>
    <w:rsid w:val="002D7ABF"/>
    <w:rsid w:val="002E4DBE"/>
    <w:rsid w:val="002F093A"/>
    <w:rsid w:val="002F608C"/>
    <w:rsid w:val="00301211"/>
    <w:rsid w:val="00326DD9"/>
    <w:rsid w:val="00330E41"/>
    <w:rsid w:val="0034598C"/>
    <w:rsid w:val="003714D7"/>
    <w:rsid w:val="0037464D"/>
    <w:rsid w:val="003E6F6A"/>
    <w:rsid w:val="0042406B"/>
    <w:rsid w:val="00433220"/>
    <w:rsid w:val="00460D56"/>
    <w:rsid w:val="0047382A"/>
    <w:rsid w:val="004840A9"/>
    <w:rsid w:val="004B02CC"/>
    <w:rsid w:val="004B609C"/>
    <w:rsid w:val="004D5B00"/>
    <w:rsid w:val="004F3D7E"/>
    <w:rsid w:val="004F5F6D"/>
    <w:rsid w:val="00504CBF"/>
    <w:rsid w:val="00520C0A"/>
    <w:rsid w:val="0052191B"/>
    <w:rsid w:val="00526902"/>
    <w:rsid w:val="005272FF"/>
    <w:rsid w:val="00530A29"/>
    <w:rsid w:val="00534A73"/>
    <w:rsid w:val="0054154D"/>
    <w:rsid w:val="005675AF"/>
    <w:rsid w:val="005748EC"/>
    <w:rsid w:val="00581D84"/>
    <w:rsid w:val="005D5ADB"/>
    <w:rsid w:val="005E4DE0"/>
    <w:rsid w:val="00604834"/>
    <w:rsid w:val="00607C7F"/>
    <w:rsid w:val="00617A87"/>
    <w:rsid w:val="00643225"/>
    <w:rsid w:val="006700DA"/>
    <w:rsid w:val="006C6208"/>
    <w:rsid w:val="006D0F27"/>
    <w:rsid w:val="006E2D78"/>
    <w:rsid w:val="006F017A"/>
    <w:rsid w:val="006F2279"/>
    <w:rsid w:val="0071515E"/>
    <w:rsid w:val="007361B9"/>
    <w:rsid w:val="00766051"/>
    <w:rsid w:val="007A0039"/>
    <w:rsid w:val="007D11C3"/>
    <w:rsid w:val="007D3DC2"/>
    <w:rsid w:val="007D72D4"/>
    <w:rsid w:val="007E3A38"/>
    <w:rsid w:val="00812BF8"/>
    <w:rsid w:val="0085464E"/>
    <w:rsid w:val="00880D12"/>
    <w:rsid w:val="008A05A7"/>
    <w:rsid w:val="008A228F"/>
    <w:rsid w:val="008C4710"/>
    <w:rsid w:val="008E1940"/>
    <w:rsid w:val="008F0601"/>
    <w:rsid w:val="008F2480"/>
    <w:rsid w:val="008F31AB"/>
    <w:rsid w:val="00901B9B"/>
    <w:rsid w:val="009116D7"/>
    <w:rsid w:val="00916AE0"/>
    <w:rsid w:val="009273CC"/>
    <w:rsid w:val="00941415"/>
    <w:rsid w:val="00941CAC"/>
    <w:rsid w:val="00947A9C"/>
    <w:rsid w:val="009952A2"/>
    <w:rsid w:val="00995E23"/>
    <w:rsid w:val="009A7A76"/>
    <w:rsid w:val="009D7B61"/>
    <w:rsid w:val="00A130B1"/>
    <w:rsid w:val="00A16854"/>
    <w:rsid w:val="00A23B4B"/>
    <w:rsid w:val="00A2548B"/>
    <w:rsid w:val="00A34D33"/>
    <w:rsid w:val="00A47F12"/>
    <w:rsid w:val="00A56EE6"/>
    <w:rsid w:val="00AD2502"/>
    <w:rsid w:val="00AD592D"/>
    <w:rsid w:val="00AE41BB"/>
    <w:rsid w:val="00AF115A"/>
    <w:rsid w:val="00B131DE"/>
    <w:rsid w:val="00B1745C"/>
    <w:rsid w:val="00B23E2A"/>
    <w:rsid w:val="00B4107A"/>
    <w:rsid w:val="00B63F9C"/>
    <w:rsid w:val="00B972DC"/>
    <w:rsid w:val="00BA746A"/>
    <w:rsid w:val="00BB0E6F"/>
    <w:rsid w:val="00BB1EE0"/>
    <w:rsid w:val="00BB5C35"/>
    <w:rsid w:val="00BD0320"/>
    <w:rsid w:val="00BD246D"/>
    <w:rsid w:val="00BF39D7"/>
    <w:rsid w:val="00C00725"/>
    <w:rsid w:val="00C2148C"/>
    <w:rsid w:val="00C224A2"/>
    <w:rsid w:val="00C30EB6"/>
    <w:rsid w:val="00C45175"/>
    <w:rsid w:val="00C54B90"/>
    <w:rsid w:val="00C54E63"/>
    <w:rsid w:val="00C77931"/>
    <w:rsid w:val="00C92411"/>
    <w:rsid w:val="00C92920"/>
    <w:rsid w:val="00C95B49"/>
    <w:rsid w:val="00CA4F2A"/>
    <w:rsid w:val="00CA6A5A"/>
    <w:rsid w:val="00CE1F70"/>
    <w:rsid w:val="00CF03B8"/>
    <w:rsid w:val="00D0781B"/>
    <w:rsid w:val="00D1063F"/>
    <w:rsid w:val="00D14786"/>
    <w:rsid w:val="00D14F5C"/>
    <w:rsid w:val="00D47D25"/>
    <w:rsid w:val="00D50F74"/>
    <w:rsid w:val="00D57556"/>
    <w:rsid w:val="00D66387"/>
    <w:rsid w:val="00D66782"/>
    <w:rsid w:val="00D853D6"/>
    <w:rsid w:val="00DD5DFF"/>
    <w:rsid w:val="00DD68EF"/>
    <w:rsid w:val="00DF70B3"/>
    <w:rsid w:val="00E146DB"/>
    <w:rsid w:val="00E231B2"/>
    <w:rsid w:val="00E435FD"/>
    <w:rsid w:val="00E6105E"/>
    <w:rsid w:val="00E65393"/>
    <w:rsid w:val="00EA7F6F"/>
    <w:rsid w:val="00EB03A6"/>
    <w:rsid w:val="00EB525D"/>
    <w:rsid w:val="00EB6513"/>
    <w:rsid w:val="00ED0A07"/>
    <w:rsid w:val="00EE423B"/>
    <w:rsid w:val="00F04263"/>
    <w:rsid w:val="00F30387"/>
    <w:rsid w:val="00F3415A"/>
    <w:rsid w:val="00F60134"/>
    <w:rsid w:val="00F75412"/>
    <w:rsid w:val="00F7753B"/>
    <w:rsid w:val="00F914DB"/>
    <w:rsid w:val="00F96625"/>
    <w:rsid w:val="00FD22AE"/>
    <w:rsid w:val="00FD77E5"/>
    <w:rsid w:val="00FE00C0"/>
    <w:rsid w:val="00FE3556"/>
    <w:rsid w:val="00FE5829"/>
    <w:rsid w:val="00FE64E7"/>
    <w:rsid w:val="00FF22A7"/>
    <w:rsid w:val="00FF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502B"/>
  <w15:chartTrackingRefBased/>
  <w15:docId w15:val="{3AEE0C30-D36E-4319-94B1-761AEF73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Cond" w:eastAsia="Myriad Pro Cond" w:hAnsi="Myriad Pro Cond"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361B9"/>
    <w:pPr>
      <w:spacing w:after="200" w:line="276" w:lineRule="auto"/>
    </w:pPr>
    <w:rPr>
      <w:sz w:val="22"/>
      <w:szCs w:val="22"/>
      <w:lang w:val="sr-Latn-RS"/>
    </w:rPr>
  </w:style>
  <w:style w:type="paragraph" w:styleId="Heading1">
    <w:name w:val="heading 1"/>
    <w:basedOn w:val="Normal"/>
    <w:next w:val="Normal"/>
    <w:link w:val="Heading1Char"/>
    <w:uiPriority w:val="9"/>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sr-Latn-R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uiPriority w:val="39"/>
    <w:rsid w:val="0019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sr-Latn-RS"/>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uiPriority w:val="34"/>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paragraph" w:styleId="FootnoteText">
    <w:name w:val="footnote text"/>
    <w:basedOn w:val="Normal"/>
    <w:link w:val="FootnoteTextChar"/>
    <w:uiPriority w:val="99"/>
    <w:unhideWhenUsed/>
    <w:rsid w:val="004F3D7E"/>
    <w:rPr>
      <w:sz w:val="20"/>
      <w:szCs w:val="20"/>
    </w:rPr>
  </w:style>
  <w:style w:type="character" w:customStyle="1" w:styleId="FootnoteTextChar">
    <w:name w:val="Footnote Text Char"/>
    <w:link w:val="FootnoteText"/>
    <w:uiPriority w:val="99"/>
    <w:rsid w:val="004F3D7E"/>
    <w:rPr>
      <w:lang w:val="sr-Latn-RS"/>
    </w:rPr>
  </w:style>
  <w:style w:type="character" w:styleId="FootnoteReference">
    <w:name w:val="footnote reference"/>
    <w:uiPriority w:val="99"/>
    <w:semiHidden/>
    <w:unhideWhenUsed/>
    <w:rsid w:val="004F3D7E"/>
    <w:rPr>
      <w:vertAlign w:val="superscript"/>
    </w:rPr>
  </w:style>
  <w:style w:type="character" w:styleId="CommentReference">
    <w:name w:val="annotation reference"/>
    <w:basedOn w:val="DefaultParagraphFont"/>
    <w:uiPriority w:val="99"/>
    <w:semiHidden/>
    <w:unhideWhenUsed/>
    <w:rsid w:val="00AD2502"/>
    <w:rPr>
      <w:sz w:val="16"/>
      <w:szCs w:val="16"/>
    </w:rPr>
  </w:style>
  <w:style w:type="paragraph" w:styleId="CommentText">
    <w:name w:val="annotation text"/>
    <w:basedOn w:val="Normal"/>
    <w:link w:val="CommentTextChar"/>
    <w:uiPriority w:val="99"/>
    <w:semiHidden/>
    <w:unhideWhenUsed/>
    <w:rsid w:val="00AD2502"/>
    <w:pPr>
      <w:spacing w:line="240" w:lineRule="auto"/>
    </w:pPr>
    <w:rPr>
      <w:sz w:val="20"/>
      <w:szCs w:val="20"/>
    </w:rPr>
  </w:style>
  <w:style w:type="character" w:customStyle="1" w:styleId="CommentTextChar">
    <w:name w:val="Comment Text Char"/>
    <w:basedOn w:val="DefaultParagraphFont"/>
    <w:link w:val="CommentText"/>
    <w:uiPriority w:val="99"/>
    <w:semiHidden/>
    <w:rsid w:val="00AD2502"/>
    <w:rPr>
      <w:lang w:val="sr-Latn-RS"/>
    </w:rPr>
  </w:style>
  <w:style w:type="paragraph" w:styleId="CommentSubject">
    <w:name w:val="annotation subject"/>
    <w:basedOn w:val="CommentText"/>
    <w:next w:val="CommentText"/>
    <w:link w:val="CommentSubjectChar"/>
    <w:uiPriority w:val="99"/>
    <w:semiHidden/>
    <w:unhideWhenUsed/>
    <w:rsid w:val="00AD2502"/>
    <w:rPr>
      <w:b/>
      <w:bCs/>
    </w:rPr>
  </w:style>
  <w:style w:type="character" w:customStyle="1" w:styleId="CommentSubjectChar">
    <w:name w:val="Comment Subject Char"/>
    <w:basedOn w:val="CommentTextChar"/>
    <w:link w:val="CommentSubject"/>
    <w:uiPriority w:val="99"/>
    <w:semiHidden/>
    <w:rsid w:val="00AD2502"/>
    <w:rPr>
      <w:b/>
      <w:bCs/>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400" b="1" i="0" u="none" strike="noStrike" cap="all" normalizeH="0" baseline="0">
                <a:effectLst/>
              </a:rPr>
              <a:t>Proactive informing of the public by public authorities</a:t>
            </a:r>
            <a:endParaRPr lang="en-US" sz="1400" i="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Score</c:v>
                </c:pt>
              </c:strCache>
            </c:strRef>
          </c:tx>
          <c:spPr>
            <a:solidFill>
              <a:schemeClr val="accent1"/>
            </a:solidFill>
            <a:ln>
              <a:noFill/>
            </a:ln>
            <a:effectLst>
              <a:softEdge rad="0"/>
            </a:effectLst>
          </c:spPr>
          <c:invertIfNegative val="0"/>
          <c:dLbls>
            <c:dLbl>
              <c:idx val="0"/>
              <c:tx>
                <c:rich>
                  <a:bodyPr/>
                  <a:lstStyle/>
                  <a:p>
                    <a:r>
                      <a:rPr lang="en-US"/>
                      <a:t>23 pts</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1AC-436E-9906-F555CD1776C8}"/>
                </c:ext>
              </c:extLst>
            </c:dLbl>
            <c:dLbl>
              <c:idx val="1"/>
              <c:tx>
                <c:rich>
                  <a:bodyPr/>
                  <a:lstStyle/>
                  <a:p>
                    <a:r>
                      <a:rPr lang="en-US"/>
                      <a:t>22 pts</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1AC-436E-9906-F555CD1776C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2017/2018</c:v>
                </c:pt>
                <c:pt idx="1">
                  <c:v>2019/2020</c:v>
                </c:pt>
              </c:strCache>
            </c:strRef>
          </c:cat>
          <c:val>
            <c:numRef>
              <c:f>Sheet1!$B$2:$B$3</c:f>
              <c:numCache>
                <c:formatCode>General</c:formatCode>
                <c:ptCount val="2"/>
                <c:pt idx="0">
                  <c:v>23</c:v>
                </c:pt>
                <c:pt idx="1">
                  <c:v>22</c:v>
                </c:pt>
              </c:numCache>
            </c:numRef>
          </c:val>
          <c:extLst>
            <c:ext xmlns:c16="http://schemas.microsoft.com/office/drawing/2014/chart" uri="{C3380CC4-5D6E-409C-BE32-E72D297353CC}">
              <c16:uniqueId val="{00000002-41AC-436E-9906-F555CD1776C8}"/>
            </c:ext>
          </c:extLst>
        </c:ser>
        <c:dLbls>
          <c:showLegendKey val="0"/>
          <c:showVal val="1"/>
          <c:showCatName val="0"/>
          <c:showSerName val="0"/>
          <c:showPercent val="0"/>
          <c:showBubbleSize val="0"/>
        </c:dLbls>
        <c:gapWidth val="150"/>
        <c:axId val="863085024"/>
        <c:axId val="820989168"/>
      </c:barChart>
      <c:lineChart>
        <c:grouping val="standard"/>
        <c:varyColors val="0"/>
        <c:ser>
          <c:idx val="1"/>
          <c:order val="1"/>
          <c:tx>
            <c:strRef>
              <c:f>Sheet1!$C$1</c:f>
              <c:strCache>
                <c:ptCount val="1"/>
                <c:pt idx="0">
                  <c:v>Final value</c:v>
                </c:pt>
              </c:strCache>
            </c:strRef>
          </c:tx>
          <c:spPr>
            <a:ln w="22225" cap="rnd">
              <a:solidFill>
                <a:schemeClr val="accent2"/>
              </a:solidFill>
              <a:round/>
            </a:ln>
            <a:effectLst/>
          </c:spPr>
          <c:marker>
            <c:symbol val="none"/>
          </c:marker>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0-83AF-4CE5-A95D-7432E7B703D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1-83AF-4CE5-A95D-7432E7B703D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2017/2018</c:v>
                </c:pt>
                <c:pt idx="1">
                  <c:v>2019/2020</c:v>
                </c:pt>
              </c:strCache>
            </c:strRef>
          </c:cat>
          <c:val>
            <c:numRef>
              <c:f>Sheet1!$C$2:$C$3</c:f>
              <c:numCache>
                <c:formatCode>General</c:formatCode>
                <c:ptCount val="2"/>
                <c:pt idx="0">
                  <c:v>2</c:v>
                </c:pt>
                <c:pt idx="1">
                  <c:v>2</c:v>
                </c:pt>
              </c:numCache>
            </c:numRef>
          </c:val>
          <c:smooth val="0"/>
          <c:extLst>
            <c:ext xmlns:c16="http://schemas.microsoft.com/office/drawing/2014/chart" uri="{C3380CC4-5D6E-409C-BE32-E72D297353CC}">
              <c16:uniqueId val="{00000005-41AC-436E-9906-F555CD1776C8}"/>
            </c:ext>
          </c:extLst>
        </c:ser>
        <c:dLbls>
          <c:showLegendKey val="0"/>
          <c:showVal val="0"/>
          <c:showCatName val="0"/>
          <c:showSerName val="0"/>
          <c:showPercent val="0"/>
          <c:showBubbleSize val="0"/>
        </c:dLbls>
        <c:marker val="1"/>
        <c:smooth val="0"/>
        <c:axId val="863003072"/>
        <c:axId val="862999680"/>
      </c:lineChart>
      <c:catAx>
        <c:axId val="8630850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1100" b="1" i="0" u="none" strike="noStrike" kern="1200" cap="all" spc="120" normalizeH="0" baseline="0">
                <a:solidFill>
                  <a:schemeClr val="tx1">
                    <a:lumMod val="65000"/>
                    <a:lumOff val="35000"/>
                  </a:schemeClr>
                </a:solidFill>
                <a:latin typeface="+mn-lt"/>
                <a:ea typeface="+mn-ea"/>
                <a:cs typeface="+mn-cs"/>
              </a:defRPr>
            </a:pPr>
            <a:endParaRPr lang="en-US"/>
          </a:p>
        </c:txPr>
        <c:crossAx val="820989168"/>
        <c:crosses val="autoZero"/>
        <c:auto val="1"/>
        <c:lblAlgn val="ctr"/>
        <c:lblOffset val="100"/>
        <c:noMultiLvlLbl val="0"/>
      </c:catAx>
      <c:valAx>
        <c:axId val="820989168"/>
        <c:scaling>
          <c:orientation val="minMax"/>
          <c:max val="56"/>
          <c:min val="0"/>
        </c:scaling>
        <c:delete val="0"/>
        <c:axPos val="l"/>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r>
                  <a:rPr lang="en-US" sz="1100" b="0"/>
                  <a:t>SCore</a:t>
                </a:r>
              </a:p>
            </c:rich>
          </c:tx>
          <c:overlay val="0"/>
          <c:spPr>
            <a:noFill/>
            <a:ln>
              <a:noFill/>
            </a:ln>
            <a:effectLst/>
          </c:spPr>
          <c:txPr>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63085024"/>
        <c:crosses val="autoZero"/>
        <c:crossBetween val="between"/>
        <c:majorUnit val="8"/>
      </c:valAx>
      <c:valAx>
        <c:axId val="862999680"/>
        <c:scaling>
          <c:orientation val="minMax"/>
          <c:max val="5"/>
        </c:scaling>
        <c:delete val="0"/>
        <c:axPos val="r"/>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r>
                  <a:rPr lang="en-US" sz="1100"/>
                  <a:t>final</a:t>
                </a:r>
                <a:r>
                  <a:rPr lang="en-US" sz="1100" baseline="0"/>
                  <a:t> value</a:t>
                </a:r>
                <a:endParaRPr lang="en-US" sz="1100"/>
              </a:p>
            </c:rich>
          </c:tx>
          <c:overlay val="0"/>
          <c:spPr>
            <a:noFill/>
            <a:ln>
              <a:noFill/>
            </a:ln>
            <a:effectLst/>
          </c:spPr>
          <c:txPr>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63003072"/>
        <c:crosses val="max"/>
        <c:crossBetween val="between"/>
        <c:majorUnit val="1"/>
      </c:valAx>
      <c:catAx>
        <c:axId val="863003072"/>
        <c:scaling>
          <c:orientation val="minMax"/>
        </c:scaling>
        <c:delete val="1"/>
        <c:axPos val="t"/>
        <c:numFmt formatCode="General" sourceLinked="1"/>
        <c:majorTickMark val="out"/>
        <c:minorTickMark val="none"/>
        <c:tickLblPos val="nextTo"/>
        <c:crossAx val="862999680"/>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FC80-2897-B34C-9DD0-8944C789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LesART</dc:creator>
  <cp:keywords/>
  <cp:lastModifiedBy>Masa Moravcevic</cp:lastModifiedBy>
  <cp:revision>2</cp:revision>
  <dcterms:created xsi:type="dcterms:W3CDTF">2021-06-03T10:19:00Z</dcterms:created>
  <dcterms:modified xsi:type="dcterms:W3CDTF">2021-06-03T10:19:00Z</dcterms:modified>
</cp:coreProperties>
</file>